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>,  IsMorning, TMQuantity, TClyQuantity, CSN, FAT, SNF, WaterP,  Price, IsKg, ArriveTime,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AdditionalCust (</w:t>
      </w:r>
      <w:r>
        <w:rPr>
          <w:u w:val="thick"/>
        </w:rPr>
        <w:t>AcustID</w:t>
      </w:r>
      <w:r>
        <w:rPr/>
        <w:t xml:space="preserve">, </w:t>
      </w:r>
      <w:r>
        <w:rPr/>
        <w:t>CustName,</w:t>
      </w:r>
      <w:r>
        <w:rPr/>
        <w:t xml:space="preserve"> Contact,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</w:t>
      </w:r>
      <w:r>
        <w:rPr>
          <w:u w:val="thick"/>
        </w:rPr>
        <w:t xml:space="preserve"> OfDate,</w:t>
      </w:r>
      <w:r>
        <w:rPr>
          <w:u w:val="thick"/>
        </w:rPr>
        <w:t xml:space="preserve"> DateATime</w:t>
      </w:r>
      <w:r>
        <w:rPr/>
        <w:t xml:space="preserve">, </w:t>
      </w:r>
      <w:r>
        <w:rPr/>
        <w:t xml:space="preserve">IsMorning, </w:t>
      </w:r>
      <w:r>
        <w:rPr/>
        <w:t xml:space="preserve">Quantity, Price, IsKg,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doubl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LibreOffice/5.1.6.2$Linux_x86 LibreOffice_project/10m0$Build-2</Application>
  <Pages>4</Pages>
  <Words>479</Words>
  <Characters>4425</Characters>
  <CharactersWithSpaces>4866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2018-07-21T00:48:29Z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