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 xml:space="preserve">,  </w:t>
      </w:r>
      <w:r>
        <w:rPr>
          <w:u w:val="single"/>
        </w:rPr>
        <w:t>IsMorning</w:t>
      </w:r>
      <w:r>
        <w:rPr/>
        <w:t>, TMQuantity, TClyQuantity, CSN, FAT, SNF, WaterP,  Price, IsKg, ArriveTime,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AdditionalCust (</w:t>
      </w:r>
      <w:r>
        <w:rPr/>
        <w:t xml:space="preserve">CustName, </w:t>
      </w:r>
      <w:r>
        <w:rPr>
          <w:u w:val="single"/>
        </w:rPr>
        <w:t>Contact</w:t>
      </w:r>
      <w:r>
        <w:rPr/>
        <w:t xml:space="preserve">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OfDate, DateATime</w:t>
      </w:r>
      <w:r>
        <w:rPr/>
        <w:t xml:space="preserve">, IsMorning, Quantity, Price, IsKg, AnimalName, 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non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Application>LibreOffice/5.1.6.2$Linux_x86 LibreOffice_project/10m0$Build-2</Application>
  <Pages>4</Pages>
  <Words>479</Words>
  <Characters>4428</Characters>
  <CharactersWithSpaces>4870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2018-08-08T22:19:38Z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