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2093"/>
        <w:gridCol w:w="7229"/>
      </w:tblGrid>
      <w:tr w:rsidR="00124FB8" w:rsidRPr="00124FB8" w14:paraId="2A5021C4" w14:textId="77777777" w:rsidTr="00124FB8">
        <w:tc>
          <w:tcPr>
            <w:tcW w:w="2093" w:type="dxa"/>
            <w:shd w:val="clear" w:color="auto" w:fill="D9D9D9" w:themeFill="background1" w:themeFillShade="D9"/>
          </w:tcPr>
          <w:p w14:paraId="04B79F41" w14:textId="77777777" w:rsidR="00124FB8" w:rsidRPr="00124FB8" w:rsidRDefault="00124FB8" w:rsidP="00124FB8">
            <w:pPr>
              <w:jc w:val="center"/>
              <w:rPr>
                <w:b/>
                <w:sz w:val="20"/>
                <w:szCs w:val="20"/>
              </w:rPr>
            </w:pPr>
            <w:r w:rsidRPr="00124FB8">
              <w:rPr>
                <w:b/>
                <w:sz w:val="20"/>
                <w:szCs w:val="20"/>
              </w:rPr>
              <w:softHyphen/>
            </w:r>
            <w:r w:rsidRPr="00124FB8">
              <w:rPr>
                <w:b/>
                <w:sz w:val="20"/>
                <w:szCs w:val="20"/>
              </w:rPr>
              <w:softHyphen/>
            </w:r>
            <w:r w:rsidRPr="00124FB8">
              <w:rPr>
                <w:b/>
                <w:sz w:val="20"/>
                <w:szCs w:val="20"/>
              </w:rPr>
              <w:softHyphen/>
            </w:r>
            <w:r w:rsidRPr="00124FB8">
              <w:rPr>
                <w:b/>
                <w:sz w:val="20"/>
                <w:szCs w:val="20"/>
              </w:rPr>
              <w:softHyphen/>
            </w:r>
            <w:r w:rsidR="00F7398F">
              <w:rPr>
                <w:b/>
                <w:sz w:val="20"/>
                <w:szCs w:val="20"/>
              </w:rPr>
              <w:t>Vantagem</w:t>
            </w:r>
          </w:p>
        </w:tc>
        <w:tc>
          <w:tcPr>
            <w:tcW w:w="7229" w:type="dxa"/>
            <w:shd w:val="clear" w:color="auto" w:fill="D9D9D9" w:themeFill="background1" w:themeFillShade="D9"/>
          </w:tcPr>
          <w:p w14:paraId="1365252E" w14:textId="77777777" w:rsidR="00124FB8" w:rsidRPr="00124FB8" w:rsidRDefault="00124FB8" w:rsidP="00124FB8">
            <w:pPr>
              <w:jc w:val="center"/>
              <w:rPr>
                <w:b/>
                <w:sz w:val="20"/>
                <w:szCs w:val="20"/>
              </w:rPr>
            </w:pPr>
            <w:r w:rsidRPr="00124FB8">
              <w:rPr>
                <w:b/>
                <w:sz w:val="20"/>
                <w:szCs w:val="20"/>
              </w:rPr>
              <w:t>Caracterização</w:t>
            </w:r>
          </w:p>
        </w:tc>
      </w:tr>
      <w:tr w:rsidR="00124FB8" w:rsidRPr="00124FB8" w14:paraId="0DA12099" w14:textId="77777777" w:rsidTr="00124FB8">
        <w:tc>
          <w:tcPr>
            <w:tcW w:w="2093" w:type="dxa"/>
          </w:tcPr>
          <w:p w14:paraId="5F2C1DB0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3A7BDFB3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3D41AC0C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Produtividade</w:t>
            </w:r>
          </w:p>
        </w:tc>
        <w:tc>
          <w:tcPr>
            <w:tcW w:w="7229" w:type="dxa"/>
          </w:tcPr>
          <w:p w14:paraId="1B720FEB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 xml:space="preserve">• Automatização da geração de código a partir de modelos por meio de uso de ferramentas de transformação, incentivando os desenvolvedores a retornarem às etapas iniciais de requisitos e análise; 
</w:t>
            </w:r>
          </w:p>
          <w:p w14:paraId="01D96FC2" w14:textId="77777777" w:rsidR="00124FB8" w:rsidRPr="00124FB8" w:rsidRDefault="00F7398F" w:rsidP="00124FB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 w:rsidR="00124FB8" w:rsidRPr="00124FB8">
              <w:rPr>
                <w:sz w:val="22"/>
                <w:szCs w:val="22"/>
              </w:rPr>
              <w:t>Tarefas repetitivas de codificação são implementadas nas transformações, poupando tempo e esforço que podem ser despendidos em outras tarefas.</w:t>
            </w:r>
          </w:p>
        </w:tc>
      </w:tr>
      <w:tr w:rsidR="00124FB8" w:rsidRPr="00124FB8" w14:paraId="4AC7C57F" w14:textId="77777777" w:rsidTr="00124FB8">
        <w:tc>
          <w:tcPr>
            <w:tcW w:w="2093" w:type="dxa"/>
          </w:tcPr>
          <w:p w14:paraId="796C4D1F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Portabilidade</w:t>
            </w:r>
          </w:p>
        </w:tc>
        <w:tc>
          <w:tcPr>
            <w:tcW w:w="7229" w:type="dxa"/>
          </w:tcPr>
          <w:p w14:paraId="4AD7904D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• A partir de um mesmo modelo pode-se gerar código para diferentes plataformas.</w:t>
            </w:r>
          </w:p>
        </w:tc>
      </w:tr>
      <w:tr w:rsidR="00124FB8" w:rsidRPr="00124FB8" w14:paraId="4F582E97" w14:textId="77777777" w:rsidTr="00124FB8">
        <w:tc>
          <w:tcPr>
            <w:tcW w:w="2093" w:type="dxa"/>
          </w:tcPr>
          <w:p w14:paraId="6CF065B6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Interoperabilidade</w:t>
            </w:r>
          </w:p>
        </w:tc>
        <w:tc>
          <w:tcPr>
            <w:tcW w:w="7229" w:type="dxa"/>
          </w:tcPr>
          <w:p w14:paraId="5D7AE962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• Cada parte do modelo pode ser transformado em código para uma plataforma diferente, o que resulta em um software que pode ser executado em um ambiente heterogêneo, mas que mantém sua funcionalidade global.</w:t>
            </w:r>
          </w:p>
        </w:tc>
      </w:tr>
      <w:tr w:rsidR="00124FB8" w:rsidRPr="00124FB8" w14:paraId="66BA352C" w14:textId="77777777" w:rsidTr="00124FB8">
        <w:tc>
          <w:tcPr>
            <w:tcW w:w="2093" w:type="dxa"/>
          </w:tcPr>
          <w:p w14:paraId="05003678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74364460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Manutenção e documentação</w:t>
            </w:r>
          </w:p>
        </w:tc>
        <w:tc>
          <w:tcPr>
            <w:tcW w:w="7229" w:type="dxa"/>
          </w:tcPr>
          <w:p w14:paraId="60EA0C36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 xml:space="preserve">• Alterações são realizadas diretamento nos modelos, mantendo-os consistentes como o código-fonte, o qual é gerado automaticamente a partir de transformações aplicadas nesses modelos;
</w:t>
            </w:r>
          </w:p>
          <w:p w14:paraId="0DE35ED8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• A documentação permanece atualizada, o que facilita as tarefas de manutenção.</w:t>
            </w:r>
          </w:p>
        </w:tc>
      </w:tr>
      <w:tr w:rsidR="00124FB8" w:rsidRPr="00124FB8" w14:paraId="084BBD61" w14:textId="77777777" w:rsidTr="00124FB8">
        <w:tc>
          <w:tcPr>
            <w:tcW w:w="2093" w:type="dxa"/>
          </w:tcPr>
          <w:p w14:paraId="1096B560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00B8D5EE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4DF3CBD3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1CDF389E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Comunicação</w:t>
            </w:r>
          </w:p>
        </w:tc>
        <w:tc>
          <w:tcPr>
            <w:tcW w:w="7229" w:type="dxa"/>
          </w:tcPr>
          <w:p w14:paraId="3A8BD7F8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 xml:space="preserve">• Uma vez que os modelos são mais abstratos que o código-fonte, o que não exige conhecimento técnico associado à plataforma de implementação para sua compreensão, os especialistas do domínio podem utilizar diretamente os modelos para identificar mais facilmente as questões associadas ao negócio;
</w:t>
            </w:r>
          </w:p>
          <w:p w14:paraId="21E92561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• Os especialistas de tecnologia da informação podem identificar os elementos técnicas usando os mesmos modelos.</w:t>
            </w:r>
          </w:p>
        </w:tc>
      </w:tr>
      <w:tr w:rsidR="00124FB8" w:rsidRPr="00124FB8" w14:paraId="43DFAABD" w14:textId="77777777" w:rsidTr="00124FB8">
        <w:tc>
          <w:tcPr>
            <w:tcW w:w="2093" w:type="dxa"/>
          </w:tcPr>
          <w:p w14:paraId="5CACDC1F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6E857FB4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Reuse</w:t>
            </w:r>
          </w:p>
        </w:tc>
        <w:tc>
          <w:tcPr>
            <w:tcW w:w="7229" w:type="dxa"/>
          </w:tcPr>
          <w:p w14:paraId="1281128E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 xml:space="preserve">• O reuso é feito em nível de modelos ao invés de um nível de código-fonte;
</w:t>
            </w:r>
          </w:p>
          <w:p w14:paraId="7CB1964B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• O código-fonte pode ser automaticamente regenerado para novos contextos por meio de ferramentas de transformações apropriadas.</w:t>
            </w:r>
          </w:p>
        </w:tc>
      </w:tr>
      <w:tr w:rsidR="00124FB8" w:rsidRPr="00124FB8" w14:paraId="67C77E43" w14:textId="77777777" w:rsidTr="00124FB8">
        <w:tc>
          <w:tcPr>
            <w:tcW w:w="2093" w:type="dxa"/>
          </w:tcPr>
          <w:p w14:paraId="76A5F949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5859638C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Verificação e Otimizações</w:t>
            </w:r>
          </w:p>
        </w:tc>
        <w:tc>
          <w:tcPr>
            <w:tcW w:w="7229" w:type="dxa"/>
          </w:tcPr>
          <w:p w14:paraId="784CDFC7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 xml:space="preserve">• Os modelos facilitam a análise por verificadores semânticos, conforme a sintaxe de seu metamodelo, e a execução de otimizações automáticas;
</w:t>
            </w:r>
          </w:p>
          <w:p w14:paraId="3831C10A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• Minimização da ocorrência de erros semânticos, o que fornece implementações mais eficientes.</w:t>
            </w:r>
          </w:p>
        </w:tc>
      </w:tr>
      <w:tr w:rsidR="00124FB8" w:rsidRPr="00124FB8" w14:paraId="03151730" w14:textId="77777777" w:rsidTr="00124FB8">
        <w:tc>
          <w:tcPr>
            <w:tcW w:w="2093" w:type="dxa"/>
          </w:tcPr>
          <w:p w14:paraId="6B43C42D" w14:textId="77777777" w:rsidR="00F7398F" w:rsidRDefault="00F7398F" w:rsidP="00124FB8">
            <w:pPr>
              <w:jc w:val="both"/>
              <w:rPr>
                <w:sz w:val="22"/>
                <w:szCs w:val="22"/>
              </w:rPr>
            </w:pPr>
          </w:p>
          <w:p w14:paraId="21C9EB82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bookmarkStart w:id="0" w:name="_GoBack"/>
            <w:bookmarkEnd w:id="0"/>
            <w:r w:rsidRPr="00124FB8">
              <w:rPr>
                <w:sz w:val="22"/>
                <w:szCs w:val="22"/>
              </w:rPr>
              <w:t>Correção</w:t>
            </w:r>
          </w:p>
        </w:tc>
        <w:tc>
          <w:tcPr>
            <w:tcW w:w="7229" w:type="dxa"/>
          </w:tcPr>
          <w:p w14:paraId="5A5CA920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 xml:space="preserve">• Ferramentas de transformação evitam a introdução de erros acidentais, tais como erros de digitação e de sintaxe;
</w:t>
            </w:r>
          </w:p>
          <w:p w14:paraId="2FD114BB" w14:textId="77777777" w:rsidR="00124FB8" w:rsidRPr="00124FB8" w:rsidRDefault="00124FB8" w:rsidP="00124FB8">
            <w:pPr>
              <w:jc w:val="both"/>
              <w:rPr>
                <w:sz w:val="22"/>
                <w:szCs w:val="22"/>
              </w:rPr>
            </w:pPr>
            <w:r w:rsidRPr="00124FB8">
              <w:rPr>
                <w:sz w:val="22"/>
                <w:szCs w:val="22"/>
              </w:rPr>
              <w:t>• Erros conceituais podem ser identificados em um nível mais alto de abstração.</w:t>
            </w:r>
          </w:p>
        </w:tc>
      </w:tr>
    </w:tbl>
    <w:p w14:paraId="5B274A54" w14:textId="77777777" w:rsidR="00444016" w:rsidRPr="00124FB8" w:rsidRDefault="00444016" w:rsidP="00124FB8">
      <w:pPr>
        <w:jc w:val="both"/>
        <w:rPr>
          <w:sz w:val="20"/>
          <w:szCs w:val="20"/>
        </w:rPr>
      </w:pPr>
    </w:p>
    <w:sectPr w:rsidR="00444016" w:rsidRPr="00124FB8" w:rsidSect="0016277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B5546"/>
    <w:multiLevelType w:val="hybridMultilevel"/>
    <w:tmpl w:val="C6A6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3"/>
  <w:proofState w:spelling="dirty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FB8"/>
    <w:rsid w:val="00072584"/>
    <w:rsid w:val="00124FB8"/>
    <w:rsid w:val="0016277E"/>
    <w:rsid w:val="00444016"/>
    <w:rsid w:val="00F7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713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4F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4F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4F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4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317</Words>
  <Characters>1808</Characters>
  <Application>Microsoft Macintosh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Durelli</dc:creator>
  <cp:keywords/>
  <dc:description/>
  <cp:lastModifiedBy>Rafael Durelli</cp:lastModifiedBy>
  <cp:revision>3</cp:revision>
  <cp:lastPrinted>2012-04-11T15:19:00Z</cp:lastPrinted>
  <dcterms:created xsi:type="dcterms:W3CDTF">2012-04-11T15:19:00Z</dcterms:created>
  <dcterms:modified xsi:type="dcterms:W3CDTF">2012-04-11T15:20:00Z</dcterms:modified>
</cp:coreProperties>
</file>