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Технический отчёт Руанда три фактора и четыре рабочие группы</w:t>
      </w:r>
    </w:p>
    <w:p>
      <w:r>
        <w:t>Период наблюдения: 15 октября 2021 — 15 октября 2026. Предмет — документированные проявления публичного политического образа в целевой выборке персон. Итоговый расчёт: 37 объектов, 8 независимо измеренных свойств, FA q=3 и Ward k=4. q=3 выбран пользователем после просмотра альтернатив; k=4 принят при содержательном рассмотрении составов. Это рабочая типология, а не статистическое доказательство четырёх социальных слоёв или политических коалиций.</w:t>
      </w:r>
    </w:p>
    <w:p>
      <w:r>
        <w:t>Документ составлен по замороженным численным файлам проекта. Он отделяет исходные наблюдения, ассистентскую разметку, аналитическую обработку и содержательный выбор. Ни при кластерном расчёте, ни при подготовке этого текста новые LLM-оценки или платные запросы не выполнялись; канонические рейтинги не редактировались.</w:t>
      </w:r>
    </w:p>
    <w:p>
      <w:pPr>
        <w:pStyle w:val="Heading1"/>
      </w:pPr>
      <w:r>
        <w:t>1 Дизайн и хронология измерения</w:t>
      </w:r>
    </w:p>
    <w:p>
      <w:r>
        <w:t>Пользователь утвердил 42 объекта и 24 определения шкал; receipts approvals.objects и approvals.scales сохранены в снимке study.json. Выборка охватывает государственное и парламентское руководство, отраслевых управленцев, территориальный уровень, оппозицию, эмиграцию и явно обозначенных международных дипломатов. Она целевая по ролям, не случайная, не пропорциональная и не репрезентативная для всего населения или всех политиков Руанды.</w:t>
      </w:r>
    </w:p>
    <w:p>
      <w:r>
        <w:t>Первоначальный paired_difference-подход требовал двух известных полюсов для разности. После явного решения пользователя measurement_model=independent_poles те же 24 определения дают 48 самостоятельных переменных 0–5: scale_id__positive и scale_id__negative. Оба свойства могут быть выражены одновременно. Условные слова positive/negative обозначают порядок в исходной паре, а не моральную оценку и не знак факторной нагрузки. Неизвестный второй полюс не скрывает известный первый.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44"/>
        <w:gridCol w:w="2678"/>
        <w:gridCol w:w="4257"/>
      </w:tblGrid>
      <w:tr>
        <w:trPr>
          <w:tblHeader w:val="true"/>
          <w:cantSplit w:val="true"/>
        </w:trPr>
        <w:tc>
          <w:tcPr>
            <w:tcW w:type="dxa" w:w="3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26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Известных полюсов из 2016</w:t>
            </w:r>
          </w:p>
        </w:tc>
        <w:tc>
          <w:tcPr>
            <w:tcW w:type="dxa" w:w="4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Основание</w:t>
            </w:r>
          </w:p>
        </w:tc>
      </w:tr>
      <w:tr>
        <w:trPr>
          <w:cantSplit w:val="true"/>
        </w:trPr>
        <w:tc>
          <w:tcPr>
            <w:tcW w:type="dxa" w:w="3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Исходный независимый проход</w:t>
            </w:r>
          </w:p>
        </w:tc>
        <w:tc>
          <w:tcPr>
            <w:tcW w:type="dxa" w:w="26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774</w:t>
            </w:r>
          </w:p>
        </w:tc>
        <w:tc>
          <w:tcPr>
            <w:tcW w:type="dxa" w:w="4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attempts/independent_before_review/ratings.json</w:t>
            </w:r>
          </w:p>
        </w:tc>
      </w:tr>
      <w:tr>
        <w:trPr>
          <w:cantSplit w:val="true"/>
        </w:trPr>
        <w:tc>
          <w:tcPr>
            <w:tcW w:type="dxa" w:w="3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После полной проверки оснований</w:t>
            </w:r>
          </w:p>
        </w:tc>
        <w:tc>
          <w:tcPr>
            <w:tcW w:type="dxa" w:w="26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528</w:t>
            </w:r>
          </w:p>
        </w:tc>
        <w:tc>
          <w:tcPr>
            <w:tcW w:type="dxa" w:w="4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attempts/independent_before_completion/ratings.json</w:t>
            </w:r>
          </w:p>
        </w:tc>
      </w:tr>
      <w:tr>
        <w:trPr>
          <w:cantSplit w:val="true"/>
        </w:trPr>
        <w:tc>
          <w:tcPr>
            <w:tcW w:type="dxa" w:w="3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После completion: 20 новых измерений</w:t>
            </w:r>
          </w:p>
        </w:tc>
        <w:tc>
          <w:tcPr>
            <w:tcW w:type="dxa" w:w="26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548</w:t>
            </w:r>
          </w:p>
        </w:tc>
        <w:tc>
          <w:tcPr>
            <w:tcW w:type="dxa" w:w="4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attempts/independent_before_coverage_expansion/ratings.json</w:t>
            </w:r>
          </w:p>
        </w:tc>
      </w:tr>
      <w:tr>
        <w:trPr>
          <w:cantSplit w:val="true"/>
        </w:trPr>
        <w:tc>
          <w:tcPr>
            <w:tcW w:type="dxa" w:w="3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После coverage expansion: ещё 41</w:t>
            </w:r>
          </w:p>
        </w:tc>
        <w:tc>
          <w:tcPr>
            <w:tcW w:type="dxa" w:w="26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589</w:t>
            </w:r>
          </w:p>
        </w:tc>
        <w:tc>
          <w:tcPr>
            <w:tcW w:type="dxa" w:w="4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cluster_candidates_q3/source_ratings.json</w:t>
            </w:r>
          </w:p>
        </w:tc>
      </w:tr>
    </w:tbl>
    <w:p>
      <w:pPr>
        <w:spacing w:after="80"/>
      </w:pPr>
    </w:p>
    <w:p>
      <w:r>
        <w:t>Проверка 774 исходных известных свойств не была независимой человеческой экспертизой: ассистенты сверяли определения, эпизоды, даты, персональную атрибуцию и индексы досье. Неподдержанные оценки переводились в unknown; ошибочные ссылки исправлялись только при наличии подходящего факта того же досье; некоторые интенсивности перекодировались с прозрачным сохранением исходного значения и мотива. Итоговое снижение 774→528 составляет 246 свойств. Числа предыдущего парно-разностного прохода сюда не переносятся.</w:t>
      </w:r>
    </w:p>
    <w:p>
      <w:r>
        <w:t>Completion и expansion — дополнительные оценки по найденным прямым сведениям, не математическая импутация. Проверялись все заранее заданные пропуски соответствующего плана; правило не прекращалось при достижении порога и не использовало желаемые нагрузки или кластеры. Тем не менее повторная ассистентская проверка не устраняет зависимость от корпуса, единичных эпизодов, общих событий и ограниченной публичности. История предложений, source_audit, provenance, event_id и URL сохранена.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64"/>
        <w:gridCol w:w="7516"/>
      </w:tblGrid>
      <w:tr>
        <w:trPr>
          <w:tblHeader w:val="true"/>
          <w:cantSplit w:val="true"/>
        </w:trPr>
        <w:tc>
          <w:tcPr>
            <w:tcW w:type="dxa" w:w="2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Интенсивность</w:t>
            </w:r>
          </w:p>
        </w:tc>
        <w:tc>
          <w:tcPr>
            <w:tcW w:type="dxa" w:w="7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Смысл якоря</w:t>
            </w:r>
          </w:p>
        </w:tc>
      </w:tr>
      <w:tr>
        <w:trPr>
          <w:cantSplit w:val="true"/>
        </w:trPr>
        <w:tc>
          <w:tcPr>
            <w:tcW w:type="dxa" w:w="2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7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Прямо подтверждённая невыраженность при достаточном относящемся материале; отсутствие источника не подходит</w:t>
            </w:r>
          </w:p>
        </w:tc>
      </w:tr>
      <w:tr>
        <w:trPr>
          <w:cantSplit w:val="true"/>
        </w:trPr>
        <w:tc>
          <w:tcPr>
            <w:tcW w:type="dxa" w:w="2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7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Единичное прямое проявление</w:t>
            </w:r>
          </w:p>
        </w:tc>
      </w:tr>
      <w:tr>
        <w:trPr>
          <w:cantSplit w:val="true"/>
        </w:trPr>
        <w:tc>
          <w:tcPr>
            <w:tcW w:type="dxa" w:w="2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7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Ясное, но ограниченное проявление; ограничения источника сохраняются</w:t>
            </w:r>
          </w:p>
        </w:tc>
      </w:tr>
      <w:tr>
        <w:trPr>
          <w:cantSplit w:val="true"/>
        </w:trPr>
        <w:tc>
          <w:tcPr>
            <w:tcW w:type="dxa" w:w="2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7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Повторяющийся акцент в разных эпизодах</w:t>
            </w:r>
          </w:p>
        </w:tc>
      </w:tr>
      <w:tr>
        <w:trPr>
          <w:cantSplit w:val="true"/>
        </w:trPr>
        <w:tc>
          <w:tcPr>
            <w:tcW w:type="dxa" w:w="2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7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Сильный повторяющийся акцент</w:t>
            </w:r>
          </w:p>
        </w:tc>
      </w:tr>
      <w:tr>
        <w:trPr>
          <w:cantSplit w:val="true"/>
        </w:trPr>
        <w:tc>
          <w:tcPr>
            <w:tcW w:type="dxa" w:w="25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7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Устойчиво центральный акцент с многими прямыми основаниями</w:t>
            </w:r>
          </w:p>
        </w:tc>
      </w:tr>
    </w:tbl>
    <w:p>
      <w:pPr>
        <w:spacing w:after="80"/>
      </w:pPr>
    </w:p>
    <w:p>
      <w:r>
        <w:t>unknown означает недостаточное основание для количественной интенсивности, а не нейтральность, отсутствие позиции или истинный ноль. Должность, осуждение оппозиционера, участие во встрече, неподписанный ведомственный курс и несколько публикаций об одном событии не должны автоматически определять персональную установку. Оценки относятся к публичным проявлениям в периоде, а не к внутренним убеждениям.</w:t>
      </w:r>
    </w:p>
    <w:p>
      <w:pPr>
        <w:pStyle w:val="Heading1"/>
      </w:pPr>
      <w:r>
        <w:t>2 Допуск к общему пространству и пропуски</w:t>
      </w:r>
    </w:p>
    <w:p>
      <w:r>
        <w:t>Единая политика применяется до любого заполнения: на каждой итерации сначала исключаются постоянные переменные и переменные с наблюдениями менее чем у max(8, ceil(0,60×n)) текущих объектов. Затем исключаются объекты с менее чем max(4, ceil(0,60×p)) известных оставшихся свойств. Процедура повторяется до стабильности. В конце нужны не менее 12 объектов, 6 непостоянных свойств, ранг не менее двух и общее покрытие не ниже 75%. Исключённые на этапе допуска неизвестные данные не восстанавливаются импутацией для достижения порогов.</w:t>
      </w:r>
    </w:p>
    <w:p>
      <w:r>
        <w:t>При 42 объектах первый порог переменной равен 26 наблюдениям. Из 48 остаётся 8 переменных, затем каждая строка должна иметь хотя бы 5 из 8 наблюдений. Получены 37 строк и 245 известных из 296 ячеек: 82,77% покрытия, 51 настоящий пропуск. На повторной итерации порог переменной 23 из 37; новых исключений нет. Строгий порядок «переменные, затем объекты» сохраняет полные профили по общему ядру, которые могли иметь пропуски по исключённым редким шкалам.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9"/>
        <w:gridCol w:w="4333"/>
        <w:gridCol w:w="2417"/>
      </w:tblGrid>
      <w:tr>
        <w:trPr>
          <w:tblHeader w:val="true"/>
          <w:cantSplit w:val="true"/>
        </w:trPr>
        <w:tc>
          <w:tcPr>
            <w:tcW w:type="dxa" w:w="3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Исключённый объект</w:t>
            </w:r>
          </w:p>
        </w:tc>
        <w:tc>
          <w:tcPr>
            <w:tcW w:type="dxa" w:w="4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Известно по 8 до исключения</w:t>
            </w:r>
          </w:p>
        </w:tc>
        <w:tc>
          <w:tcPr>
            <w:tcW w:type="dxa" w:w="2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Требовалось</w:t>
            </w:r>
          </w:p>
        </w:tc>
      </w:tr>
      <w:tr>
        <w:trPr>
          <w:cantSplit w:val="true"/>
        </w:trPr>
        <w:tc>
          <w:tcPr>
            <w:tcW w:type="dxa" w:w="3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Инес Мпамбара</w:t>
            </w:r>
          </w:p>
        </w:tc>
        <w:tc>
          <w:tcPr>
            <w:tcW w:type="dxa" w:w="4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3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Бернар Нтаганда</w:t>
            </w:r>
          </w:p>
        </w:tc>
        <w:tc>
          <w:tcPr>
            <w:tcW w:type="dxa" w:w="4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3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Кристофер Каюмба</w:t>
            </w:r>
          </w:p>
        </w:tc>
        <w:tc>
          <w:tcPr>
            <w:tcW w:type="dxa" w:w="4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3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Поль Русесабагина</w:t>
            </w:r>
          </w:p>
        </w:tc>
        <w:tc>
          <w:tcPr>
            <w:tcW w:type="dxa" w:w="4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3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Фостен Каюмба Ньямваса</w:t>
            </w:r>
          </w:p>
        </w:tc>
        <w:tc>
          <w:tcPr>
            <w:tcW w:type="dxa" w:w="4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</w:tr>
    </w:tbl>
    <w:p>
      <w:pPr>
        <w:spacing w:after="80"/>
      </w:pPr>
    </w:p>
    <w:p>
      <w:r>
        <w:t>Исключение этих пяти персон обусловлено недостаточным сопоставимым измерением; оно не описывает их политическую незначимость или отсутствие взглядов. Для них не выданы нулевые координаты или угаданная группа. Отбор по источниковому покрытию меняет изучаемую выборку и способен систематически исключать менее публичных или ограниченных в участии персон.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715"/>
        <w:gridCol w:w="3365"/>
      </w:tblGrid>
      <w:tr>
        <w:trPr>
          <w:tblHeader w:val="true"/>
          <w:cantSplit w:val="true"/>
        </w:trPr>
        <w:tc>
          <w:tcPr>
            <w:tcW w:type="dxa" w:w="6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Оставшееся свойство</w:t>
            </w:r>
          </w:p>
        </w:tc>
        <w:tc>
          <w:tcPr>
            <w:tcW w:type="dxa" w:w="3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Наблюдений среди 37</w:t>
            </w:r>
          </w:p>
        </w:tc>
      </w:tr>
      <w:tr>
        <w:trPr>
          <w:cantSplit w:val="true"/>
        </w:trPr>
        <w:tc>
          <w:tcPr>
            <w:tcW w:type="dxa" w:w="6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Программное изменение существующего курса</w:t>
            </w:r>
          </w:p>
        </w:tc>
        <w:tc>
          <w:tcPr>
            <w:tcW w:type="dxa" w:w="3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27/37</w:t>
            </w:r>
          </w:p>
        </w:tc>
      </w:tr>
      <w:tr>
        <w:trPr>
          <w:cantSplit w:val="true"/>
        </w:trPr>
        <w:tc>
          <w:tcPr>
            <w:tcW w:type="dxa" w:w="6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Продолжение и закрепление действующего курса</w:t>
            </w:r>
          </w:p>
        </w:tc>
        <w:tc>
          <w:tcPr>
            <w:tcW w:type="dxa" w:w="3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33/37</w:t>
            </w:r>
          </w:p>
        </w:tc>
      </w:tr>
      <w:tr>
        <w:trPr>
          <w:cantSplit w:val="true"/>
        </w:trPr>
        <w:tc>
          <w:tcPr>
            <w:tcW w:type="dxa" w:w="6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Публичная поддержка действующего государственного курса</w:t>
            </w:r>
          </w:p>
        </w:tc>
        <w:tc>
          <w:tcPr>
            <w:tcW w:type="dxa" w:w="3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30/37</w:t>
            </w:r>
          </w:p>
        </w:tc>
      </w:tr>
      <w:tr>
        <w:trPr>
          <w:cantSplit w:val="true"/>
        </w:trPr>
        <w:tc>
          <w:tcPr>
            <w:tcW w:type="dxa" w:w="6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Административная постановка задач и контроль исполнения</w:t>
            </w:r>
          </w:p>
        </w:tc>
        <w:tc>
          <w:tcPr>
            <w:tcW w:type="dxa" w:w="3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30/37</w:t>
            </w:r>
          </w:p>
        </w:tc>
      </w:tr>
      <w:tr>
        <w:trPr>
          <w:cantSplit w:val="true"/>
        </w:trPr>
        <w:tc>
          <w:tcPr>
            <w:tcW w:type="dxa" w:w="6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Обоснование через ценности, память и коллективные символы</w:t>
            </w:r>
          </w:p>
        </w:tc>
        <w:tc>
          <w:tcPr>
            <w:tcW w:type="dxa" w:w="3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33/37</w:t>
            </w:r>
          </w:p>
        </w:tc>
      </w:tr>
      <w:tr>
        <w:trPr>
          <w:cantSplit w:val="true"/>
        </w:trPr>
        <w:tc>
          <w:tcPr>
            <w:tcW w:type="dxa" w:w="6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Расширение доступности базовых благ для населения</w:t>
            </w:r>
          </w:p>
        </w:tc>
        <w:tc>
          <w:tcPr>
            <w:tcW w:type="dxa" w:w="3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35/37</w:t>
            </w:r>
          </w:p>
        </w:tc>
      </w:tr>
      <w:tr>
        <w:trPr>
          <w:cantSplit w:val="true"/>
        </w:trPr>
        <w:tc>
          <w:tcPr>
            <w:tcW w:type="dxa" w:w="6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Публичное раскрытие проблем и недостатков исполнения</w:t>
            </w:r>
          </w:p>
        </w:tc>
        <w:tc>
          <w:tcPr>
            <w:tcW w:type="dxa" w:w="3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29/37</w:t>
            </w:r>
          </w:p>
        </w:tc>
      </w:tr>
      <w:tr>
        <w:trPr>
          <w:cantSplit w:val="true"/>
        </w:trPr>
        <w:tc>
          <w:tcPr>
            <w:tcW w:type="dxa" w:w="6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Упреждающее снижение рисков и подготовка</w:t>
            </w:r>
          </w:p>
        </w:tc>
        <w:tc>
          <w:tcPr>
            <w:tcW w:type="dxa" w:w="3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28/37</w:t>
            </w:r>
          </w:p>
        </w:tc>
      </w:tr>
    </w:tbl>
    <w:p>
      <w:pPr>
        <w:spacing w:after="80"/>
      </w:pPr>
    </w:p>
    <w:p>
      <w:pPr>
        <w:pStyle w:val="Heading1"/>
      </w:pPr>
      <w:r>
        <w:t>3 Вероятностная FA и воспроизводимые параметры</w:t>
      </w:r>
    </w:p>
    <w:p>
      <w:r>
        <w:t>Обучающее ядро использует sklearn.decomposition.FactorAnalysis: линейная гауссова модель z = m + L f + ε, f ~ N(0,Iq), ε ~ N(0,Ψ), Ψ диагональна и положительна. Соответственно Σ = LLᵀ + Ψ. Это общий факторный анализ с отдельной специфической дисперсией; PCA в этом проекте применяется только как отдельная геометрическая диагностика размерности.</w:t>
      </w:r>
    </w:p>
    <w:p>
      <w:hyperlink r:id="rId9">
        <w:r>
          <w:rPr>
            <w:color w:val="176F74"/>
          </w:rPr>
          <w:t>Описание вероятностной FactorAnalysis в scikit-learn</w:t>
        </w:r>
      </w:hyperlink>
      <w:r>
        <w:rPr>
          <w:sz w:val="18"/>
        </w:rPr>
        <w:br/>
        <w:t>https://scikit-learn.org/stable/modules/generated/sklearn.decomposition.FactorAnalysis.html</w:t>
      </w:r>
    </w:p>
    <w:p>
      <w:r>
        <w:t>Для обучения средние каждого столбца вычисляются по его известным значениям; 51 обучающий пропуск временно заполняется своим средним. StandardScaler оценивается на этой обучающей копии: центрирование и масштаб ddof=0. Затем FA: q=3, svd_method=lapack, max_iter=2000, tol=0,0001, seed=20261015. Минимум Ψ задаётся floor=1e-6 после fit; это защитная регуляризация диагонального шума, а не новый эмпирический факт. В текущем решении floor не сработал ни для одной переменной.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767"/>
        <w:gridCol w:w="3313"/>
      </w:tblGrid>
      <w:tr>
        <w:trPr>
          <w:tblHeader w:val="true"/>
          <w:cantSplit w:val="true"/>
        </w:trPr>
        <w:tc>
          <w:tcPr>
            <w:tcW w:type="dxa" w:w="6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Параметр/проверка</w:t>
            </w:r>
          </w:p>
        </w:tc>
        <w:tc>
          <w:tcPr>
            <w:tcW w:type="dxa" w:w="3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6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Итераций FA</w:t>
            </w:r>
          </w:p>
        </w:tc>
        <w:tc>
          <w:tcPr>
            <w:tcW w:type="dxa" w:w="3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226</w:t>
            </w:r>
          </w:p>
        </w:tc>
      </w:tr>
      <w:tr>
        <w:trPr>
          <w:cantSplit w:val="true"/>
        </w:trPr>
        <w:tc>
          <w:tcPr>
            <w:tcW w:type="dxa" w:w="6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Предупреждение сходимости</w:t>
            </w:r>
          </w:p>
        </w:tc>
        <w:tc>
          <w:tcPr>
            <w:tcW w:type="dxa" w:w="3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False</w:t>
            </w:r>
          </w:p>
        </w:tc>
      </w:tr>
      <w:tr>
        <w:trPr>
          <w:cantSplit w:val="true"/>
        </w:trPr>
        <w:tc>
          <w:tcPr>
            <w:tcW w:type="dxa" w:w="6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Минимум шума до/после floor</w:t>
            </w:r>
          </w:p>
        </w:tc>
        <w:tc>
          <w:tcPr>
            <w:tcW w:type="dxa" w:w="3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0.05012963 / 0.05012963</w:t>
            </w:r>
          </w:p>
        </w:tc>
      </w:tr>
      <w:tr>
        <w:trPr>
          <w:cantSplit w:val="true"/>
        </w:trPr>
        <w:tc>
          <w:tcPr>
            <w:tcW w:type="dxa" w:w="6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Число активированных floor</w:t>
            </w:r>
          </w:p>
        </w:tc>
        <w:tc>
          <w:tcPr>
            <w:tcW w:type="dxa" w:w="3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Condition posterior q×q</w:t>
            </w:r>
          </w:p>
        </w:tc>
        <w:tc>
          <w:tcPr>
            <w:tcW w:type="dxa" w:w="3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6.473220</w:t>
            </w:r>
          </w:p>
        </w:tc>
      </w:tr>
      <w:tr>
        <w:trPr>
          <w:cantSplit w:val="true"/>
        </w:trPr>
        <w:tc>
          <w:tcPr>
            <w:tcW w:type="dxa" w:w="6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Максимальное различие нагрузок с сохранённым preview</w:t>
            </w:r>
          </w:p>
        </w:tc>
        <w:tc>
          <w:tcPr>
            <w:tcW w:type="dxa" w:w="3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0.0</w:t>
            </w:r>
          </w:p>
        </w:tc>
      </w:tr>
    </w:tbl>
    <w:p>
      <w:pPr>
        <w:spacing w:after="80"/>
      </w:pPr>
    </w:p>
    <w:p>
      <w:r>
        <w:t>Ортогональное Varimax-вращение R вычисляется собственным SVD-алгоритмом (до 200 итераций, tolerance=1e-8), Lr=LR, RᵀR=I. Оно перераспределяет нагрузки между осями при сохранении общей реконструируемой ковариации. Баллы вращаются тем же R; евклидовы расстояния между ними сохраняются. Знаки и номера факторов условны и локальны выбранному q; сравнение других решений требует согласования осей.</w:t>
      </w:r>
    </w:p>
    <w:p>
      <w:r>
        <w:t>Для индивидуальных баллов не используется заполненная копия строки. Пусть O — только её действительно известные координаты; zO стандартизованы фиксированными обучающими средними и масштабами, mO — центр модели в стандартизованных единицах. Тогда AО = Iq + LOᵀΨO^(-1)LO; μf|zO = AО^(-1) LOᵀΨO^(-1)(zO−mO); rotated_score = μf|zOᵀR. В коде решается система q×q через numpy.linalg.solve, без прямого обращения сингулярной p×p корреляционной матрицы. ΨO положительна. При меньшем числе наблюдений условное среднее сильнее зависит от модельного prior; индивидуальная неопределённость не исчезает.</w:t>
      </w:r>
    </w:p>
    <w:p>
      <w:r>
        <w:t>Обучающее заполнение средним и последующая проекция по наблюдаемым координатам — разные операции. Маргинализация отсутствующих признаков при posterior projection НЕ превращает исходное обучение в FIML. Гауссово линейное приближение применяется к ограниченным, фактически порядковым оценкам 0–5; равноинтервальность и нормальность не доказаны.</w:t>
      </w:r>
    </w:p>
    <w:p>
      <w:r>
        <w:t>Portable-параметры сохранены в cluster_candidates_q3/factor_parameters_q3.json и внутри factor_model.parameters общего кластерного JSON: training_imputation, training_mean, training_scale, standardized_model_mean, исходные L, noise_variance, R, noise_floor, точный trait_order и training_object_order. Для новой строки нужно сохранить этот порядок и fixed train-параметры, а неизвестное передавать NaN; нельзя заново оценивать scaler по новой строке. Joblib — дополнительный удобный формат, JSON не требует pickle.</w:t>
      </w:r>
    </w:p>
    <w:p>
      <w:pPr>
        <w:pStyle w:val="Heading1"/>
      </w:pPr>
      <w:r>
        <w:t>4 Число факторов и смысл процентов</w:t>
      </w:r>
    </w:p>
    <w:p>
      <w:r>
        <w:t>До fit проверяется необходимое ограничение числа ковариационных параметров: nominal_df = p(p+1)/2 − [p q + p − q(q−1)/2] ≥ 0. При p=8 имеется 36 ковариационных моментов; q3 требует 29 параметров, nominal_df=7. Допустимы q2, q3, q4; q5..q7 имеют отрицательные df и не обучались, q8 отсечён p−1. Неотрицательные df необходимы, но не доказывают локальную идентификацию, содержательную валидность или достаточную выборку. Здесь не проводился χ²-тест по этим df.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2"/>
        <w:gridCol w:w="1722"/>
        <w:gridCol w:w="1641"/>
        <w:gridCol w:w="2027"/>
        <w:gridCol w:w="1558"/>
        <w:gridCol w:w="2100"/>
      </w:tblGrid>
      <w:tr>
        <w:trPr>
          <w:tblHeader w:val="true"/>
          <w:cantSplit w:val="true"/>
        </w:trPr>
        <w:tc>
          <w:tcPr>
            <w:tcW w:type="dxa" w:w="1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q</w:t>
            </w:r>
          </w:p>
        </w:tc>
        <w:tc>
          <w:tcPr>
            <w:tcW w:type="dxa" w:w="1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Параметры / df</w:t>
            </w:r>
          </w:p>
        </w:tc>
        <w:tc>
          <w:tcPr>
            <w:tcW w:type="dxa" w:w="16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Общая доля, %</w:t>
            </w:r>
          </w:p>
        </w:tc>
        <w:tc>
          <w:tcPr>
            <w:tcW w:type="dxa" w:w="2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Held-out mean (SD)</w:t>
            </w:r>
          </w:p>
        </w:tc>
        <w:tc>
          <w:tcPr>
            <w:tcW w:type="dxa" w:w="15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Residual RMS</w:t>
            </w:r>
          </w:p>
        </w:tc>
        <w:tc>
          <w:tcPr>
            <w:tcW w:type="dxa" w:w="21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Сильных шкал на ось</w:t>
            </w:r>
          </w:p>
        </w:tc>
      </w:tr>
      <w:tr>
        <w:trPr>
          <w:cantSplit w:val="true"/>
        </w:trPr>
        <w:tc>
          <w:tcPr>
            <w:tcW w:type="dxa" w:w="1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23 / 13</w:t>
            </w:r>
          </w:p>
        </w:tc>
        <w:tc>
          <w:tcPr>
            <w:tcW w:type="dxa" w:w="16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39.7348</w:t>
            </w:r>
          </w:p>
        </w:tc>
        <w:tc>
          <w:tcPr>
            <w:tcW w:type="dxa" w:w="2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-9.4284 (2.0013)</w:t>
            </w:r>
          </w:p>
        </w:tc>
        <w:tc>
          <w:tcPr>
            <w:tcW w:type="dxa" w:w="15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0.12806</w:t>
            </w:r>
          </w:p>
        </w:tc>
        <w:tc>
          <w:tcPr>
            <w:tcW w:type="dxa" w:w="21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[3, 2]</w:t>
            </w:r>
          </w:p>
        </w:tc>
      </w:tr>
      <w:tr>
        <w:trPr>
          <w:cantSplit w:val="true"/>
        </w:trPr>
        <w:tc>
          <w:tcPr>
            <w:tcW w:type="dxa" w:w="1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29 / 7</w:t>
            </w:r>
          </w:p>
        </w:tc>
        <w:tc>
          <w:tcPr>
            <w:tcW w:type="dxa" w:w="16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52.2945</w:t>
            </w:r>
          </w:p>
        </w:tc>
        <w:tc>
          <w:tcPr>
            <w:tcW w:type="dxa" w:w="2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-9.5429 (2.1189)</w:t>
            </w:r>
          </w:p>
        </w:tc>
        <w:tc>
          <w:tcPr>
            <w:tcW w:type="dxa" w:w="15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0.05023</w:t>
            </w:r>
          </w:p>
        </w:tc>
        <w:tc>
          <w:tcPr>
            <w:tcW w:type="dxa" w:w="21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[3, 3, 3]</w:t>
            </w:r>
          </w:p>
        </w:tc>
      </w:tr>
      <w:tr>
        <w:trPr>
          <w:cantSplit w:val="true"/>
        </w:trPr>
        <w:tc>
          <w:tcPr>
            <w:tcW w:type="dxa" w:w="1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34 / 2</w:t>
            </w:r>
          </w:p>
        </w:tc>
        <w:tc>
          <w:tcPr>
            <w:tcW w:type="dxa" w:w="16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61.3709</w:t>
            </w:r>
          </w:p>
        </w:tc>
        <w:tc>
          <w:tcPr>
            <w:tcW w:type="dxa" w:w="2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-9.8420 (2.0110)</w:t>
            </w:r>
          </w:p>
        </w:tc>
        <w:tc>
          <w:tcPr>
            <w:tcW w:type="dxa" w:w="15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0.01510</w:t>
            </w:r>
          </w:p>
        </w:tc>
        <w:tc>
          <w:tcPr>
            <w:tcW w:type="dxa" w:w="21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[3, 1, 2, 2]</w:t>
            </w:r>
          </w:p>
        </w:tc>
      </w:tr>
    </w:tbl>
    <w:p>
      <w:pPr>
        <w:spacing w:after="80"/>
      </w:pPr>
    </w:p>
    <w:p>
      <w:r>
        <w:t>Held-out — три одинаковых для q разделения строк 75/25 с seed=20261015. Среднее, scaler и FA обучаются только на train; тестовая плотность вычисляется по наблюдаемым координатам с якобианом масштаба. Разделения перекрываются, а SD отражает описательный разброс. Процедура не даёт доверительного интервала или проверки значимости разницы q. Перестановочная PCA-диагностика (500 независимых перестановок каждого столбца, 95-й процентиль) выделяет три ведущие компоненты, но это не доказательство трёх общих факторов.</w:t>
      </w:r>
    </w:p>
    <w:p>
      <w:r>
        <w:t>Автоматическая эвристика предпочитает q2: среди решений без предупреждений и с ≥2 нагрузками |L|≥0,35 на ось выбирается минимальное q в пределах max(1, SD_best/√3) от лучшего среднего held-out. Пользователь осознанно выбрал q3 ради отдельного различия «доступность благ/профилактика — ценностная аргументация». Снижение остатка внутри выборки и увеличение общей доли при q4 сами по себе не оправдывают q4; у него df=2 и профилактическая ось имеет только один сильный индикатор.</w:t>
      </w:r>
    </w:p>
    <w:p>
      <w:r>
        <w:t>Доля каждой вращённой оси определяется descriptively как Σj(Lr[j,a])² / Σj Var(zj). Знаменатель — вся стандартизованная обучающая дисперсия всех восьми допущенных переменных после mean completion, здесь 8 с машинным округлением. Суммарная доля q3=52,2945124%; это доля общей FA в этой конкретной восьмимерной матрице, не PCA explained_variance_ratio, не доля всех свойств политического сознания и не процент объяснения поведения населения.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2"/>
        <w:gridCol w:w="1736"/>
        <w:gridCol w:w="2136"/>
        <w:gridCol w:w="4616"/>
      </w:tblGrid>
      <w:tr>
        <w:trPr>
          <w:tblHeader w:val="true"/>
          <w:cantSplit w:val="true"/>
        </w:trPr>
        <w:tc>
          <w:tcPr>
            <w:tcW w:type="dxa" w:w="1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Raw ось</w:t>
            </w:r>
          </w:p>
        </w:tc>
        <w:tc>
          <w:tcPr>
            <w:tcW w:type="dxa" w:w="1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Доля, %</w:t>
            </w:r>
          </w:p>
        </w:tc>
        <w:tc>
          <w:tcPr>
            <w:tcW w:type="dxa" w:w="2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Отображение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Читательский смысл положительного X</w:t>
            </w:r>
          </w:p>
        </w:tc>
      </w:tr>
      <w:tr>
        <w:trPr>
          <w:cantSplit w:val="true"/>
        </w:trPr>
        <w:tc>
          <w:tcPr>
            <w:tcW w:type="dxa" w:w="1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F1</w:t>
            </w:r>
          </w:p>
        </w:tc>
        <w:tc>
          <w:tcPr>
            <w:tcW w:type="dxa" w:w="1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22.40004</w:t>
            </w:r>
          </w:p>
        </w:tc>
        <w:tc>
          <w:tcPr>
            <w:tcW w:type="dxa" w:w="2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X1=−F1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Преемственность и поддержка курса</w:t>
            </w:r>
          </w:p>
        </w:tc>
      </w:tr>
      <w:tr>
        <w:trPr>
          <w:cantSplit w:val="true"/>
        </w:trPr>
        <w:tc>
          <w:tcPr>
            <w:tcW w:type="dxa" w:w="1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F2</w:t>
            </w:r>
          </w:p>
        </w:tc>
        <w:tc>
          <w:tcPr>
            <w:tcW w:type="dxa" w:w="1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16.77955</w:t>
            </w:r>
          </w:p>
        </w:tc>
        <w:tc>
          <w:tcPr>
            <w:tcW w:type="dxa" w:w="2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X2=F2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Обновление курса и раскрытие проблем</w:t>
            </w:r>
          </w:p>
        </w:tc>
      </w:tr>
      <w:tr>
        <w:trPr>
          <w:cantSplit w:val="true"/>
        </w:trPr>
        <w:tc>
          <w:tcPr>
            <w:tcW w:type="dxa" w:w="1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F3</w:t>
            </w:r>
          </w:p>
        </w:tc>
        <w:tc>
          <w:tcPr>
            <w:tcW w:type="dxa" w:w="1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13.11492</w:t>
            </w:r>
          </w:p>
        </w:tc>
        <w:tc>
          <w:tcPr>
            <w:tcW w:type="dxa" w:w="2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X3=F3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Доступность благ и профилактика относительно ценностной аргументации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29"/>
        <w:gridCol w:w="1550"/>
        <w:gridCol w:w="1550"/>
        <w:gridCol w:w="1550"/>
      </w:tblGrid>
      <w:tr>
        <w:trPr>
          <w:tblHeader w:val="true"/>
          <w:cantSplit w:val="true"/>
        </w:trPr>
        <w:tc>
          <w:tcPr>
            <w:tcW w:type="dxa" w:w="54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Свойство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F1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F2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F3</w:t>
            </w:r>
          </w:p>
        </w:tc>
      </w:tr>
      <w:tr>
        <w:trPr>
          <w:cantSplit w:val="true"/>
        </w:trPr>
        <w:tc>
          <w:tcPr>
            <w:tcW w:type="dxa" w:w="54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Программное изменение существующего курса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+0.04765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+0.94602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-0.05775</w:t>
            </w:r>
          </w:p>
        </w:tc>
      </w:tr>
      <w:tr>
        <w:trPr>
          <w:cantSplit w:val="true"/>
        </w:trPr>
        <w:tc>
          <w:tcPr>
            <w:tcW w:type="dxa" w:w="54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Продолжение и закрепление действующего курса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-0.96629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-0.08815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-0.09210</w:t>
            </w:r>
          </w:p>
        </w:tc>
      </w:tr>
      <w:tr>
        <w:trPr>
          <w:cantSplit w:val="true"/>
        </w:trPr>
        <w:tc>
          <w:tcPr>
            <w:tcW w:type="dxa" w:w="54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Публичная поддержка действующего государственного курса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-0.64626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+0.09155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+0.08789</w:t>
            </w:r>
          </w:p>
        </w:tc>
      </w:tr>
      <w:tr>
        <w:trPr>
          <w:cantSplit w:val="true"/>
        </w:trPr>
        <w:tc>
          <w:tcPr>
            <w:tcW w:type="dxa" w:w="54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Административная постановка задач и контроль исполнения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-0.34114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+0.07667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+0.24920</w:t>
            </w:r>
          </w:p>
        </w:tc>
      </w:tr>
      <w:tr>
        <w:trPr>
          <w:cantSplit w:val="true"/>
        </w:trPr>
        <w:tc>
          <w:tcPr>
            <w:tcW w:type="dxa" w:w="54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Обоснование через ценности, память и коллективные символы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-0.39906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+0.20329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-0.70605</w:t>
            </w:r>
          </w:p>
        </w:tc>
      </w:tr>
      <w:tr>
        <w:trPr>
          <w:cantSplit w:val="true"/>
        </w:trPr>
        <w:tc>
          <w:tcPr>
            <w:tcW w:type="dxa" w:w="54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Расширение доступности базовых благ для населения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-0.25326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+0.39748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+0.47237</w:t>
            </w:r>
          </w:p>
        </w:tc>
      </w:tr>
      <w:tr>
        <w:trPr>
          <w:cantSplit w:val="true"/>
        </w:trPr>
        <w:tc>
          <w:tcPr>
            <w:tcW w:type="dxa" w:w="54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Публичное раскрытие проблем и недостатков исполнения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+0.16686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+0.46751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-0.17702</w:t>
            </w:r>
          </w:p>
        </w:tc>
      </w:tr>
      <w:tr>
        <w:trPr>
          <w:cantSplit w:val="true"/>
        </w:trPr>
        <w:tc>
          <w:tcPr>
            <w:tcW w:type="dxa" w:w="54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Упреждающее снижение рисков и подготовка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-0.26602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-0.08660</w:t>
            </w:r>
          </w:p>
        </w:tc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+0.46321</w:t>
            </w:r>
          </w:p>
        </w:tc>
      </w:tr>
    </w:tbl>
    <w:p>
      <w:pPr>
        <w:spacing w:after="80"/>
      </w:pPr>
    </w:p>
    <w:p>
      <w:r>
        <w:t>Высокий X1 означает более сильные измеренные проявления преемственности и поддержки курса; высокий X2 — более сильное программное обновление и раскрытие проблем; высокий X3 — относительный акцент на доступности благ и профилактике при меньшей ценностно-мемориальной аргументации. Низкое значение независимого свойства не означает его неизмеренный антоним. Для диаграмм отражён лишь знак F1: расстояния и группы Ward от этого не изменяются.</w:t>
      </w:r>
    </w:p>
    <w:p>
      <w:pPr>
        <w:pStyle w:val="Heading1"/>
      </w:pPr>
      <w:r>
        <w:t>5 Чувствительность к заполнению пропусков</w:t>
      </w:r>
    </w:p>
    <w:p>
      <w:r>
        <w:t>Отдельная проверка сравнила mean, ограниченную итеративную регрессию BayesianRidge и KNN(k=5, weights=distance, nan_euclidean). Двадцать раз случайно разделялись строки 75/25; внутри validation скрывались 12% исходно известных ячеек. Fit imputer использует только train; замаскированные истины в предикторы не попадали. Все методы получают те же разделения и маски; всего 158 проверяемых ячеек с повторами. Гиперпараметры фиксированы, поэтому это двухуровневая маскировка, а не nested CV для настройки.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3"/>
        <w:gridCol w:w="1834"/>
        <w:gridCol w:w="1834"/>
        <w:gridCol w:w="2994"/>
        <w:gridCol w:w="1834"/>
      </w:tblGrid>
      <w:tr>
        <w:trPr>
          <w:tblHeader w:val="true"/>
          <w:cantSplit w:val="true"/>
        </w:trPr>
        <w:tc>
          <w:tcPr>
            <w:tcW w:type="dxa" w:w="1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1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MAE</w:t>
            </w:r>
          </w:p>
        </w:tc>
        <w:tc>
          <w:tcPr>
            <w:tcW w:type="dxa" w:w="1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RMSE</w:t>
            </w:r>
          </w:p>
        </w:tc>
        <w:tc>
          <w:tcPr>
            <w:tcW w:type="dxa" w:w="2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Ячеек с повторами</w:t>
            </w:r>
          </w:p>
        </w:tc>
        <w:tc>
          <w:tcPr>
            <w:tcW w:type="dxa" w:w="1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Warnings</w:t>
            </w:r>
          </w:p>
        </w:tc>
      </w:tr>
      <w:tr>
        <w:trPr>
          <w:cantSplit w:val="true"/>
        </w:trPr>
        <w:tc>
          <w:tcPr>
            <w:tcW w:type="dxa" w:w="1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mean</w:t>
            </w:r>
          </w:p>
        </w:tc>
        <w:tc>
          <w:tcPr>
            <w:tcW w:type="dxa" w:w="1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0.575211</w:t>
            </w:r>
          </w:p>
        </w:tc>
        <w:tc>
          <w:tcPr>
            <w:tcW w:type="dxa" w:w="1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0.798438</w:t>
            </w:r>
          </w:p>
        </w:tc>
        <w:tc>
          <w:tcPr>
            <w:tcW w:type="dxa" w:w="2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158</w:t>
            </w:r>
          </w:p>
        </w:tc>
        <w:tc>
          <w:tcPr>
            <w:tcW w:type="dxa" w:w="1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bayesian_ridge</w:t>
            </w:r>
          </w:p>
        </w:tc>
        <w:tc>
          <w:tcPr>
            <w:tcW w:type="dxa" w:w="1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0.616529</w:t>
            </w:r>
          </w:p>
        </w:tc>
        <w:tc>
          <w:tcPr>
            <w:tcW w:type="dxa" w:w="1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0.879858</w:t>
            </w:r>
          </w:p>
        </w:tc>
        <w:tc>
          <w:tcPr>
            <w:tcW w:type="dxa" w:w="2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158</w:t>
            </w:r>
          </w:p>
        </w:tc>
        <w:tc>
          <w:tcPr>
            <w:tcW w:type="dxa" w:w="1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1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knn</w:t>
            </w:r>
          </w:p>
        </w:tc>
        <w:tc>
          <w:tcPr>
            <w:tcW w:type="dxa" w:w="1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0.578865</w:t>
            </w:r>
          </w:p>
        </w:tc>
        <w:tc>
          <w:tcPr>
            <w:tcW w:type="dxa" w:w="1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0.838627</w:t>
            </w:r>
          </w:p>
        </w:tc>
        <w:tc>
          <w:tcPr>
            <w:tcW w:type="dxa" w:w="2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158</w:t>
            </w:r>
          </w:p>
        </w:tc>
        <w:tc>
          <w:tcPr>
            <w:tcW w:type="dxa" w:w="1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</w:tbl>
    <w:p>
      <w:pPr>
        <w:spacing w:after="80"/>
      </w:pPr>
    </w:p>
    <w:p>
      <w:r>
        <w:t>Регрессионное восстановление не показало преимущества над mean в этом эксперименте; у него четыре предупреждения сходимости при лимите20. Проверяются искусственно скрытые ИЗВЕСТНЫЕ ячейки отобранного ядра. Это не валидация истинных unknown: публичность, должность, репрессии, тема и доступность источника могут делать пропуски неслучайными. MAR/MNAR не устанавливаются таким сравнением, регрессия не устраняет MNAR автоматически. Импутация не выдаётся за новое измерение и не расширяет допуск на все42.</w:t>
      </w:r>
    </w:p>
    <w:p>
      <w:hyperlink r:id="rId10">
        <w:r>
          <w:rPr>
            <w:color w:val="176F74"/>
          </w:rPr>
          <w:t>scikit-learn: пропуски и множественные реализации</w:t>
        </w:r>
      </w:hyperlink>
      <w:r>
        <w:rPr>
          <w:sz w:val="18"/>
        </w:rPr>
        <w:br/>
        <w:t>https://scikit-learn.org/stable/modules/impute.html</w:t>
      </w:r>
    </w:p>
    <w:p>
      <w:hyperlink r:id="rId11">
        <w:r>
          <w:rPr>
            <w:color w:val="176F74"/>
          </w:rPr>
          <w:t>scikit-learn: IterativeImputer, BayesianRidge и sample_posterior</w:t>
        </w:r>
      </w:hyperlink>
      <w:r>
        <w:rPr>
          <w:sz w:val="18"/>
        </w:rPr>
        <w:br/>
        <w:t>https://scikit-learn.org/stable/modules/generated/sklearn.impute.IterativeImputer.html</w:t>
      </w:r>
    </w:p>
    <w:p>
      <w:r>
        <w:t>В десяти отдельных posterior-реализациях IterativeImputer(BayesianRidge, sample_posterior=True) неизвестные аналитически заполнены в0..5, исходно известные значения сохранены. Seed каждого draw=20261015+5000+draw. Каждая завершённая матрица получает собственные scaler, FA q и Varimax; колонки нагрузок согласуются оптимальной перестановкой и знаком по Tucker-конгруэнтности, без непрерывного вращения для искусственного повышения сходства. Несогласованные оси не усредняются. Процентили описывают десять реализаций, не являются доверительными интервалами и не образуют Rubin-пулинг.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8"/>
        <w:gridCol w:w="2308"/>
        <w:gridCol w:w="5464"/>
      </w:tblGrid>
      <w:tr>
        <w:trPr>
          <w:tblHeader w:val="true"/>
          <w:cantSplit w:val="true"/>
        </w:trPr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q</w:t>
            </w:r>
          </w:p>
        </w:tc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Ось</w:t>
            </w:r>
          </w:p>
        </w:tc>
        <w:tc>
          <w:tcPr>
            <w:tcW w:type="dxa" w:w="5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Tucker 5% / median / 95%</w:t>
            </w:r>
          </w:p>
        </w:tc>
      </w:tr>
      <w:tr>
        <w:trPr>
          <w:cantSplit w:val="true"/>
        </w:trPr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F1</w:t>
            </w:r>
          </w:p>
        </w:tc>
        <w:tc>
          <w:tcPr>
            <w:tcW w:type="dxa" w:w="5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0.6793 / 0.9741 / 0.9880</w:t>
            </w:r>
          </w:p>
        </w:tc>
      </w:tr>
      <w:tr>
        <w:trPr>
          <w:cantSplit w:val="true"/>
        </w:trPr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F2</w:t>
            </w:r>
          </w:p>
        </w:tc>
        <w:tc>
          <w:tcPr>
            <w:tcW w:type="dxa" w:w="5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0.3827 / 0.9161 / 0.9888</w:t>
            </w:r>
          </w:p>
        </w:tc>
      </w:tr>
      <w:tr>
        <w:trPr>
          <w:cantSplit w:val="true"/>
        </w:trPr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F1</w:t>
            </w:r>
          </w:p>
        </w:tc>
        <w:tc>
          <w:tcPr>
            <w:tcW w:type="dxa" w:w="5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0.8876 / 0.9624 / 0.9851</w:t>
            </w:r>
          </w:p>
        </w:tc>
      </w:tr>
      <w:tr>
        <w:trPr>
          <w:cantSplit w:val="true"/>
        </w:trPr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F2</w:t>
            </w:r>
          </w:p>
        </w:tc>
        <w:tc>
          <w:tcPr>
            <w:tcW w:type="dxa" w:w="5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0.7362 / 0.8963 / 0.9952</w:t>
            </w:r>
          </w:p>
        </w:tc>
      </w:tr>
      <w:tr>
        <w:trPr>
          <w:cantSplit w:val="true"/>
        </w:trPr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F3</w:t>
            </w:r>
          </w:p>
        </w:tc>
        <w:tc>
          <w:tcPr>
            <w:tcW w:type="dxa" w:w="5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0.7108 / 0.8486 / 0.9773</w:t>
            </w:r>
          </w:p>
        </w:tc>
      </w:tr>
      <w:tr>
        <w:trPr>
          <w:cantSplit w:val="true"/>
        </w:trPr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F1</w:t>
            </w:r>
          </w:p>
        </w:tc>
        <w:tc>
          <w:tcPr>
            <w:tcW w:type="dxa" w:w="5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0.7675 / 0.8922 / 0.9771</w:t>
            </w:r>
          </w:p>
        </w:tc>
      </w:tr>
      <w:tr>
        <w:trPr>
          <w:cantSplit w:val="true"/>
        </w:trPr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F2</w:t>
            </w:r>
          </w:p>
        </w:tc>
        <w:tc>
          <w:tcPr>
            <w:tcW w:type="dxa" w:w="5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0.4188 / 0.5300 / 0.9323</w:t>
            </w:r>
          </w:p>
        </w:tc>
      </w:tr>
      <w:tr>
        <w:trPr>
          <w:cantSplit w:val="true"/>
        </w:trPr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F3</w:t>
            </w:r>
          </w:p>
        </w:tc>
        <w:tc>
          <w:tcPr>
            <w:tcW w:type="dxa" w:w="5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0.7023 / 0.8484 / 0.9671</w:t>
            </w:r>
          </w:p>
        </w:tc>
      </w:tr>
      <w:tr>
        <w:trPr>
          <w:cantSplit w:val="true"/>
        </w:trPr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F4</w:t>
            </w:r>
          </w:p>
        </w:tc>
        <w:tc>
          <w:tcPr>
            <w:tcW w:type="dxa" w:w="5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0.3461 / 0.4922 / 0.8815</w:t>
            </w:r>
          </w:p>
        </w:tc>
      </w:tr>
    </w:tbl>
    <w:p>
      <w:pPr>
        <w:spacing w:after="80"/>
      </w:pPr>
    </w:p>
    <w:p>
      <w:pPr>
        <w:pStyle w:val="Heading1"/>
      </w:pPr>
      <w:r>
        <w:t>6 Проверка зависимости от оговорок и дополнительного слоя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9"/>
        <w:gridCol w:w="2829"/>
        <w:gridCol w:w="2217"/>
        <w:gridCol w:w="1555"/>
      </w:tblGrid>
      <w:tr>
        <w:trPr>
          <w:tblHeader w:val="true"/>
          <w:cantSplit w:val="true"/>
        </w:trPr>
        <w:tc>
          <w:tcPr>
            <w:tcW w:type="dxa" w:w="3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Исключение в копии</w:t>
            </w:r>
          </w:p>
        </w:tc>
        <w:tc>
          <w:tcPr>
            <w:tcW w:type="dxa" w:w="2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Оценок исключено</w:t>
            </w:r>
          </w:p>
        </w:tc>
        <w:tc>
          <w:tcPr>
            <w:tcW w:type="dxa" w:w="22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Остаток n×p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Допуск</w:t>
            </w:r>
          </w:p>
        </w:tc>
      </w:tr>
      <w:tr>
        <w:trPr>
          <w:cantSplit w:val="true"/>
        </w:trPr>
        <w:tc>
          <w:tcPr>
            <w:tcW w:type="dxa" w:w="3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without_flagged</w:t>
            </w:r>
          </w:p>
        </w:tc>
        <w:tc>
          <w:tcPr>
            <w:tcW w:type="dxa" w:w="2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44</w:t>
            </w:r>
          </w:p>
        </w:tc>
        <w:tc>
          <w:tcPr>
            <w:tcW w:type="dxa" w:w="22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34×7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3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without_followup_layer</w:t>
            </w:r>
          </w:p>
        </w:tc>
        <w:tc>
          <w:tcPr>
            <w:tcW w:type="dxa" w:w="2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61</w:t>
            </w:r>
          </w:p>
        </w:tc>
        <w:tc>
          <w:tcPr>
            <w:tcW w:type="dxa" w:w="22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18×4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нет</w:t>
            </w:r>
          </w:p>
        </w:tc>
      </w:tr>
      <w:tr>
        <w:trPr>
          <w:cantSplit w:val="true"/>
        </w:trPr>
        <w:tc>
          <w:tcPr>
            <w:tcW w:type="dxa" w:w="3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without_flagged_and_followup_layer</w:t>
            </w:r>
          </w:p>
        </w:tc>
        <w:tc>
          <w:tcPr>
            <w:tcW w:type="dxa" w:w="2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102</w:t>
            </w:r>
          </w:p>
        </w:tc>
        <w:tc>
          <w:tcPr>
            <w:tcW w:type="dxa" w:w="22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0×3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нет</w:t>
            </w:r>
          </w:p>
        </w:tc>
      </w:tr>
    </w:tbl>
    <w:p>
      <w:pPr>
        <w:spacing w:after="80"/>
      </w:pPr>
    </w:p>
    <w:p>
      <w:r>
        <w:t>Удаление всех текущих44 source_audit.decision=flag даёт34×7 с покрытием84,03%; по прежним порогам допустимы q2 и q3, q4 имеет df=−1. Флаг — оговорка измерения, а не доказанная ложность, поэтому строгий сценарий является чувствительностью. Удаление всех61 completion/coverage_expansion оставляет18×4 и не допускает FA; объединённое исключение102 —0×3. Старые оценки из истории записи не заменяют текущие provenance. Основной результат существенно зависит от собранного дополнительного слоя.</w:t>
      </w:r>
    </w:p>
    <w:p>
      <w:r>
        <w:t>В отдельном строгом расчёте q3 объясняет55,9846% дисперсии СЕМИ стандартизованных переменных, df=3. Это иной набор объектов/переменных и иной знаменатель; больший процент не означает улучшения. Из основной матрицы исчезает programmatic-renewal__positive, а также Хареримана, Мпайимана и Виктуар Ингабире. При сопоставлении по общим семи признакам нет непрерывной подгонки вращения.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48"/>
        <w:gridCol w:w="2443"/>
        <w:gridCol w:w="1648"/>
        <w:gridCol w:w="1161"/>
        <w:gridCol w:w="3180"/>
      </w:tblGrid>
      <w:tr>
        <w:trPr>
          <w:tblHeader w:val="true"/>
          <w:cantSplit w:val="true"/>
        </w:trPr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Основная ось</w:t>
            </w:r>
          </w:p>
        </w:tc>
        <w:tc>
          <w:tcPr>
            <w:tcW w:type="dxa" w:w="2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Сопоставленная строгая</w:t>
            </w:r>
          </w:p>
        </w:tc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Знак строгой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Tucker</w:t>
            </w:r>
          </w:p>
        </w:tc>
        <w:tc>
          <w:tcPr>
            <w:tcW w:type="dxa" w:w="31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Энергия исходной оси на общих7, %</w:t>
            </w:r>
          </w:p>
        </w:tc>
      </w:tr>
      <w:tr>
        <w:trPr>
          <w:cantSplit w:val="true"/>
        </w:trPr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F1</w:t>
            </w:r>
          </w:p>
        </w:tc>
        <w:tc>
          <w:tcPr>
            <w:tcW w:type="dxa" w:w="2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F1</w:t>
            </w:r>
          </w:p>
        </w:tc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0.93243</w:t>
            </w:r>
          </w:p>
        </w:tc>
        <w:tc>
          <w:tcPr>
            <w:tcW w:type="dxa" w:w="31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99.87</w:t>
            </w:r>
          </w:p>
        </w:tc>
      </w:tr>
      <w:tr>
        <w:trPr>
          <w:cantSplit w:val="true"/>
        </w:trPr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F2</w:t>
            </w:r>
          </w:p>
        </w:tc>
        <w:tc>
          <w:tcPr>
            <w:tcW w:type="dxa" w:w="2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F3</w:t>
            </w:r>
          </w:p>
        </w:tc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0.37863</w:t>
            </w:r>
          </w:p>
        </w:tc>
        <w:tc>
          <w:tcPr>
            <w:tcW w:type="dxa" w:w="31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33.33</w:t>
            </w:r>
          </w:p>
        </w:tc>
      </w:tr>
      <w:tr>
        <w:trPr>
          <w:cantSplit w:val="true"/>
        </w:trPr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F3</w:t>
            </w:r>
          </w:p>
        </w:tc>
        <w:tc>
          <w:tcPr>
            <w:tcW w:type="dxa" w:w="2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F2</w:t>
            </w:r>
          </w:p>
        </w:tc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0.58221</w:t>
            </w:r>
          </w:p>
        </w:tc>
        <w:tc>
          <w:tcPr>
            <w:tcW w:type="dxa" w:w="31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99.68</w:t>
            </w:r>
          </w:p>
        </w:tc>
      </w:tr>
    </w:tbl>
    <w:p>
      <w:pPr>
        <w:spacing w:after="80"/>
      </w:pPr>
    </w:p>
    <w:p>
      <w:r>
        <w:t>Преемственность F1 сравнительно узнаваема (Tucker≈0,932). Обновление F2 потеряло основной измерительный якорь и две трети своей энергии нагрузок; слабое совпадение0,379 не является чистым тестом того же полностью измеренного конструкта. Третья ось также меняется (0,582). В строгих решениях профилактическая ось имеет лишь один сильный индикатор. Вся трёхосная структура и последующая типология не подтверждены как устойчивые к политике источниковых оговорок; q3 сохраняется как условная рабочая гипотеза.</w:t>
      </w:r>
    </w:p>
    <w:p>
      <w:pPr>
        <w:pStyle w:val="Heading1"/>
      </w:pPr>
      <w:r>
        <w:t>7 Ward кластеризация трёхмерных баллов</w:t>
      </w:r>
    </w:p>
    <w:p>
      <w:r>
        <w:t>Основная группировка — агломеративная иерархическая Ward с евклидовыми расстояниями в трёх исходных единицах вращённых posterior scores. На каждом шаге объединение минимизирует прирост внутригрупповой суммы квадратов. Одно сохранённое дерево разрезается на k=2..6 через scipy.cluster.hierarchy.cut_tree; число групп точно соответствует k. Это не прежний KMeans из общей сервисной функции, и к Ward не переносятся автоматически его эвристики выбора k или правила минимального размера.</w:t>
      </w:r>
    </w:p>
    <w:p>
      <w:hyperlink r:id="rId12">
        <w:r>
          <w:rPr>
            <w:color w:val="176F74"/>
          </w:rPr>
          <w:t>SciPy: Ward hierarchical clustering</w:t>
        </w:r>
      </w:hyperlink>
      <w:r>
        <w:rPr>
          <w:sz w:val="18"/>
        </w:rPr>
        <w:br/>
        <w:t>https://docs.scipy.org/doc/scipy/reference/generated/scipy.cluster.hierarchy.ward.html</w:t>
      </w:r>
    </w:p>
    <w:p>
      <w:r>
        <w:t>Стандартные отклонения raw F1/F2/F3 равны0,98084/1,00107/0,86219. Основной расчёт не уравнивает эмпирические масштабы осей; отдельная проверка z-масштабирования дала ARI=1 для всех k2..6. Отражение X1=−F1 также точно сохраняет разбиение. Номера C локальны каждому k; сравнение групп с одинаковым номером между k без просмотра состава некорректно. Полный порядок объектов и linkage сохранены; при точных равенствах расстояний порядок строк способен определять разрешение ties.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5"/>
        <w:gridCol w:w="1618"/>
        <w:gridCol w:w="1521"/>
        <w:gridCol w:w="2386"/>
        <w:gridCol w:w="1803"/>
        <w:gridCol w:w="1618"/>
      </w:tblGrid>
      <w:tr>
        <w:trPr>
          <w:tblHeader w:val="true"/>
          <w:cantSplit w:val="true"/>
        </w:trPr>
        <w:tc>
          <w:tcPr>
            <w:tcW w:type="dxa" w:w="11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k</w:t>
            </w:r>
          </w:p>
        </w:tc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Размеры</w:t>
            </w:r>
          </w:p>
        </w:tc>
        <w:tc>
          <w:tcPr>
            <w:tcW w:type="dxa" w:w="15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Silhouette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Subsample median ARI</w:t>
            </w:r>
          </w:p>
        </w:tc>
        <w:tc>
          <w:tcPr>
            <w:tcW w:type="dxa" w:w="1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MI median ARI</w:t>
            </w:r>
          </w:p>
        </w:tc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ARI z-scale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35/2</w:t>
            </w:r>
          </w:p>
        </w:tc>
        <w:tc>
          <w:tcPr>
            <w:tcW w:type="dxa" w:w="15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0.54912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1.00000</w:t>
            </w:r>
          </w:p>
        </w:tc>
        <w:tc>
          <w:tcPr>
            <w:tcW w:type="dxa" w:w="1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0.32252</w:t>
            </w:r>
          </w:p>
        </w:tc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1.000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12/2/23</w:t>
            </w:r>
          </w:p>
        </w:tc>
        <w:tc>
          <w:tcPr>
            <w:tcW w:type="dxa" w:w="15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0.34791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0.69715</w:t>
            </w:r>
          </w:p>
        </w:tc>
        <w:tc>
          <w:tcPr>
            <w:tcW w:type="dxa" w:w="1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0.39140</w:t>
            </w:r>
          </w:p>
        </w:tc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1.000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2/10/2/23</w:t>
            </w:r>
          </w:p>
        </w:tc>
        <w:tc>
          <w:tcPr>
            <w:tcW w:type="dxa" w:w="15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0.38931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0.76424</w:t>
            </w:r>
          </w:p>
        </w:tc>
        <w:tc>
          <w:tcPr>
            <w:tcW w:type="dxa" w:w="1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0.46949</w:t>
            </w:r>
          </w:p>
        </w:tc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1.000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2/10/18/2/5</w:t>
            </w:r>
          </w:p>
        </w:tc>
        <w:tc>
          <w:tcPr>
            <w:tcW w:type="dxa" w:w="15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0.38700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0.79129</w:t>
            </w:r>
          </w:p>
        </w:tc>
        <w:tc>
          <w:tcPr>
            <w:tcW w:type="dxa" w:w="1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0.42588</w:t>
            </w:r>
          </w:p>
        </w:tc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1.000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2/10/1/18/1/5</w:t>
            </w:r>
          </w:p>
        </w:tc>
        <w:tc>
          <w:tcPr>
            <w:tcW w:type="dxa" w:w="15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0.38411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0.77751</w:t>
            </w:r>
          </w:p>
        </w:tc>
        <w:tc>
          <w:tcPr>
            <w:tcW w:type="dxa" w:w="1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0.45973</w:t>
            </w:r>
          </w:p>
        </w:tc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1.000</w:t>
            </w:r>
          </w:p>
        </w:tc>
      </w:tr>
    </w:tbl>
    <w:p>
      <w:pPr>
        <w:spacing w:after="80"/>
      </w:pPr>
    </w:p>
    <w:p>
      <w:r>
        <w:t>Для каждого k выполнены100 подвыборок по29 из37 объектов без возвращения (80% с округлением вниз; seed=20261015+10000+k). Факторная модель и баллы в этом эксперименте фиксированы. Новое Ward-разбиение сравнивается с исходным на общих объектах через ARI. Метки согласуются максимальным суммарным перекрытием по Hungarian assignment; Jaccard рассчитывается для этой единой пары групп, условно на присутствии исходной группы. Парная co-membership label-invariant и делит число совместных кластеризаций только на повторы, где присутствуют оба участника.</w:t>
      </w:r>
    </w:p>
    <w:p>
      <w:hyperlink r:id="rId13">
        <w:r>
          <w:rPr>
            <w:color w:val="176F74"/>
          </w:rPr>
          <w:t>scikit-learn: Adjusted Rand index</w:t>
        </w:r>
      </w:hyperlink>
      <w:r>
        <w:rPr>
          <w:sz w:val="18"/>
        </w:rPr>
        <w:br/>
        <w:t>https://scikit-learn.org/stable/modules/clustering.html#adjusted-rand-index</w:t>
      </w:r>
    </w:p>
    <w:p>
      <w:r>
        <w:t>Отдельная проверка применяет Ward ко всем37 объектам в каждой из тех же10 posterior-импутаций, с новым scaler и FA q3. Она одновременно отражает неопределённость завершения и перестройку факторной геометрии; это не изолированный эффект смены источника. Перестановка/знак согласованных осей служит читаемости и не меняет евклидовы расстояния. Повторы не являются независимыми социальными выборками, а частота совпадения не является вероятностью истинного политического членства.</w:t>
      </w:r>
    </w:p>
    <w:p>
      <w:r>
        <w:t>Выбран k4 после рассмотрения профилей: k3 объединяет ценностную пару с социально-управленческой10; k4 разделяет их по различию третьей оси и документированных свойств. k2 имеет более высокий silhouette, но сводит35 разных персон в одну остаточную группу. k5 дополнительно выделяет смешанную пятёрку Кагаме, Маризамунда, Калинда, Мпайимана, Рвигара с невысокой воспроизводимостью при MI; это трудно честно назвать единым политическим типом. k6 дробит пару обновления на два singleton. Это содержательный компромисс аналитика, а не автоматический максимум метрики или доказанный оптимум.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70"/>
        <w:gridCol w:w="1143"/>
        <w:gridCol w:w="2705"/>
        <w:gridCol w:w="2162"/>
      </w:tblGrid>
      <w:tr>
        <w:trPr>
          <w:tblHeader w:val="true"/>
          <w:cantSplit w:val="true"/>
        </w:trPr>
        <w:tc>
          <w:tcPr>
            <w:tcW w:type="dxa" w:w="40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k4 группа</w:t>
            </w:r>
          </w:p>
        </w:tc>
        <w:tc>
          <w:tcPr>
            <w:tcW w:type="dxa" w:w="1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n</w:t>
            </w:r>
          </w:p>
        </w:tc>
        <w:tc>
          <w:tcPr>
            <w:tcW w:type="dxa" w:w="27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Median Jaccard subsample</w:t>
            </w:r>
          </w:p>
        </w:tc>
        <w:tc>
          <w:tcPr>
            <w:tcW w:type="dxa" w:w="21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Median Jaccard MI</w:t>
            </w:r>
          </w:p>
        </w:tc>
      </w:tr>
      <w:tr>
        <w:trPr>
          <w:cantSplit w:val="true"/>
        </w:trPr>
        <w:tc>
          <w:tcPr>
            <w:tcW w:type="dxa" w:w="40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C1: Преемственность через ценности и память</w:t>
            </w:r>
          </w:p>
        </w:tc>
        <w:tc>
          <w:tcPr>
            <w:tcW w:type="dxa" w:w="1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7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1.00000</w:t>
            </w:r>
          </w:p>
        </w:tc>
        <w:tc>
          <w:tcPr>
            <w:tcW w:type="dxa" w:w="21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1.00000</w:t>
            </w:r>
          </w:p>
        </w:tc>
      </w:tr>
      <w:tr>
        <w:trPr>
          <w:cantSplit w:val="true"/>
        </w:trPr>
        <w:tc>
          <w:tcPr>
            <w:tcW w:type="dxa" w:w="40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C2: Социально-управленческая преемственность</w:t>
            </w:r>
          </w:p>
        </w:tc>
        <w:tc>
          <w:tcPr>
            <w:tcW w:type="dxa" w:w="1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7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0.87500</w:t>
            </w:r>
          </w:p>
        </w:tc>
        <w:tc>
          <w:tcPr>
            <w:tcW w:type="dxa" w:w="21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0.63636</w:t>
            </w:r>
          </w:p>
        </w:tc>
      </w:tr>
      <w:tr>
        <w:trPr>
          <w:cantSplit w:val="true"/>
        </w:trPr>
        <w:tc>
          <w:tcPr>
            <w:tcW w:type="dxa" w:w="40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C3: Программное обновление и доступность благ</w:t>
            </w:r>
          </w:p>
        </w:tc>
        <w:tc>
          <w:tcPr>
            <w:tcW w:type="dxa" w:w="1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7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1.00000</w:t>
            </w:r>
          </w:p>
        </w:tc>
        <w:tc>
          <w:tcPr>
            <w:tcW w:type="dxa" w:w="21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0.45000</w:t>
            </w:r>
          </w:p>
        </w:tc>
      </w:tr>
      <w:tr>
        <w:trPr>
          <w:cantSplit w:val="true"/>
        </w:trPr>
        <w:tc>
          <w:tcPr>
            <w:tcW w:type="dxa" w:w="40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C4: Разнородные менее выраженные измеренные профили</w:t>
            </w:r>
          </w:p>
        </w:tc>
        <w:tc>
          <w:tcPr>
            <w:tcW w:type="dxa" w:w="1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27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0.89474</w:t>
            </w:r>
          </w:p>
        </w:tc>
        <w:tc>
          <w:tcPr>
            <w:tcW w:type="dxa" w:w="21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0.73495</w:t>
            </w:r>
          </w:p>
        </w:tc>
      </w:tr>
    </w:tbl>
    <w:p>
      <w:pPr>
        <w:spacing w:after="80"/>
      </w:pPr>
    </w:p>
    <w:p>
      <w:r>
        <w:t>Стабильность неоднородна: ценностная пара имеет median Jaccard1/1, группа обновления1/0,45. Даже сохранение обоих участников в одной группе не означает сохранение эксклюзивной пары: при MI к ним могут присоединяться другие. Для k4 общая MI median ARI≈0,4695, поэтому границы типологии нельзя считать установленными. C4 обозначает большой разнородный остаток по измеренному ядру, а не центристов, нейтральных акторов или естественную коалицию.</w:t>
      </w:r>
    </w:p>
    <w:p>
      <w:r>
        <w:t>В условном парном подсчёте Бизимана и Хареримана оставались вместе во всех55 subsample-повторах с присутствием обоих и во всех10 MI. Хабинеза и Виктуар Ингабире оставались вместе55 из57 совместных subsample-повторов (0,9649) и6 из10 MI (0,60). Эти знаменатели исключают повторы с отсутствием одного участника; наблюдение пары не сводится к произвольной нумерации кластеров.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49"/>
        <w:gridCol w:w="4215"/>
        <w:gridCol w:w="4215"/>
      </w:tblGrid>
      <w:tr>
        <w:trPr>
          <w:tblHeader w:val="true"/>
          <w:cantSplit w:val="true"/>
        </w:trPr>
        <w:tc>
          <w:tcPr>
            <w:tcW w:type="dxa" w:w="1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Группа</w:t>
            </w:r>
          </w:p>
        </w:tc>
        <w:tc>
          <w:tcPr>
            <w:tcW w:type="dxa" w:w="4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Raw центр F1/F2/F3</w:t>
            </w:r>
          </w:p>
        </w:tc>
        <w:tc>
          <w:tcPr>
            <w:tcW w:type="dxa" w:w="4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Display центр X1/X2/X3</w:t>
            </w:r>
          </w:p>
        </w:tc>
      </w:tr>
      <w:tr>
        <w:trPr>
          <w:cantSplit w:val="true"/>
        </w:trPr>
        <w:tc>
          <w:tcPr>
            <w:tcW w:type="dxa" w:w="1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4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-2.2417 / +0.0597 / -2.0016</w:t>
            </w:r>
          </w:p>
        </w:tc>
        <w:tc>
          <w:tcPr>
            <w:tcW w:type="dxa" w:w="4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+2.2417 / +0.0597 / -2.0016</w:t>
            </w:r>
          </w:p>
        </w:tc>
      </w:tr>
      <w:tr>
        <w:trPr>
          <w:cantSplit w:val="true"/>
        </w:trPr>
        <w:tc>
          <w:tcPr>
            <w:tcW w:type="dxa" w:w="1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4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-0.7552 / -0.0566 / +0.8579</w:t>
            </w:r>
          </w:p>
        </w:tc>
        <w:tc>
          <w:tcPr>
            <w:tcW w:type="dxa" w:w="4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+0.7552 / -0.0566 / +0.8579</w:t>
            </w:r>
          </w:p>
        </w:tc>
      </w:tr>
      <w:tr>
        <w:trPr>
          <w:cantSplit w:val="true"/>
        </w:trPr>
        <w:tc>
          <w:tcPr>
            <w:tcW w:type="dxa" w:w="1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4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+0.4291 / +3.3782 / +0.0429</w:t>
            </w:r>
          </w:p>
        </w:tc>
        <w:tc>
          <w:tcPr>
            <w:tcW w:type="dxa" w:w="4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-0.4291 / +3.3782 / +0.0429</w:t>
            </w:r>
          </w:p>
        </w:tc>
      </w:tr>
      <w:tr>
        <w:trPr>
          <w:cantSplit w:val="true"/>
        </w:trPr>
        <w:tc>
          <w:tcPr>
            <w:tcW w:type="dxa" w:w="1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4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+0.5117 / -0.3428 / -0.2380</w:t>
            </w:r>
          </w:p>
        </w:tc>
        <w:tc>
          <w:tcPr>
            <w:tcW w:type="dxa" w:w="4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-0.5117 / -0.3428 / -0.2380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55"/>
        <w:gridCol w:w="1425"/>
        <w:gridCol w:w="1588"/>
        <w:gridCol w:w="1425"/>
        <w:gridCol w:w="1588"/>
      </w:tblGrid>
      <w:tr>
        <w:trPr>
          <w:tblHeader w:val="true"/>
          <w:cantSplit w:val="true"/>
        </w:trPr>
        <w:tc>
          <w:tcPr>
            <w:tcW w:type="dxa" w:w="4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Свойство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C1 mean (n)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C2 mean (n)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C3 mean (n)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C4 mean (n)</w:t>
            </w:r>
          </w:p>
        </w:tc>
      </w:tr>
      <w:tr>
        <w:trPr>
          <w:cantSplit w:val="true"/>
        </w:trPr>
        <w:tc>
          <w:tcPr>
            <w:tcW w:type="dxa" w:w="4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Программное изменение существующего курса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unknown (0/2)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2.100 (10/10)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4.500 (2/2)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1.933 (15/23)</w:t>
            </w:r>
          </w:p>
        </w:tc>
      </w:tr>
      <w:tr>
        <w:trPr>
          <w:cantSplit w:val="true"/>
        </w:trPr>
        <w:tc>
          <w:tcPr>
            <w:tcW w:type="dxa" w:w="4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Продолжение и закрепление действующего курса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4.000 (2/2)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2.700 (10/10)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1.000 (1/2)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1.800 (20/23)</w:t>
            </w:r>
          </w:p>
        </w:tc>
      </w:tr>
      <w:tr>
        <w:trPr>
          <w:cantSplit w:val="true"/>
        </w:trPr>
        <w:tc>
          <w:tcPr>
            <w:tcW w:type="dxa" w:w="4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Публичная поддержка действующего государственного курса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3.500 (2/2)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2.778 (9/10)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unknown (0/2)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1.895 (19/23)</w:t>
            </w:r>
          </w:p>
        </w:tc>
      </w:tr>
      <w:tr>
        <w:trPr>
          <w:cantSplit w:val="true"/>
        </w:trPr>
        <w:tc>
          <w:tcPr>
            <w:tcW w:type="dxa" w:w="4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Административная постановка задач и контроль исполнения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2.000 (1/2)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2.400 (10/10)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2.000 (1/2)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1.833 (18/23)</w:t>
            </w:r>
          </w:p>
        </w:tc>
      </w:tr>
      <w:tr>
        <w:trPr>
          <w:cantSplit w:val="true"/>
        </w:trPr>
        <w:tc>
          <w:tcPr>
            <w:tcW w:type="dxa" w:w="4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Обоснование через ценности, память и коллективные символы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4.500 (2/2)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1.500 (8/10)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2.500 (2/2)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2.000 (21/23)</w:t>
            </w:r>
          </w:p>
        </w:tc>
      </w:tr>
      <w:tr>
        <w:trPr>
          <w:cantSplit w:val="true"/>
        </w:trPr>
        <w:tc>
          <w:tcPr>
            <w:tcW w:type="dxa" w:w="4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Расширение доступности базовых благ для населения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1.000 (1/2)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3.000 (10/10)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4.000 (2/2)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2.000 (22/23)</w:t>
            </w:r>
          </w:p>
        </w:tc>
      </w:tr>
      <w:tr>
        <w:trPr>
          <w:cantSplit w:val="true"/>
        </w:trPr>
        <w:tc>
          <w:tcPr>
            <w:tcW w:type="dxa" w:w="4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Публичное раскрытие проблем и недостатков исполнения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2.000 (2/2)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1.667 (6/10)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2.500 (2/2)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1.789 (19/23)</w:t>
            </w:r>
          </w:p>
        </w:tc>
      </w:tr>
      <w:tr>
        <w:trPr>
          <w:cantSplit w:val="true"/>
        </w:trPr>
        <w:tc>
          <w:tcPr>
            <w:tcW w:type="dxa" w:w="40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Упреждающее снижение рисков и подготовка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2.000 (1/2)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2.667 (9/10)</w:t>
            </w:r>
          </w:p>
        </w:tc>
        <w:tc>
          <w:tcPr>
            <w:tcW w:type="dxa" w:w="14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1.500 (2/2)</w:t>
            </w:r>
          </w:p>
        </w:tc>
        <w:tc>
          <w:tcPr>
            <w:tcW w:type="dxa" w:w="15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1.625 (16/23)</w:t>
            </w:r>
          </w:p>
        </w:tc>
      </w:tr>
    </w:tbl>
    <w:p>
      <w:pPr>
        <w:spacing w:after="80"/>
      </w:pPr>
    </w:p>
    <w:p>
      <w:r>
        <w:t>Средние свойств в таблице рассчитаны только по исходно observed, не по заполнениям. У пары C1 программное обновление неизвестно у обоих; оно не объявляется низким. В C3 поддержка государственного курса неизвестна у обоих; она не объявляется отсутствующей. Число измерений показано для каждого среднего. Различия групп описательные: тестов значимости, причинной атрибуции или популяционных выводов нет.</w:t>
      </w:r>
    </w:p>
    <w:p>
      <w:r>
        <w:t>C1 — Преемственность через ценности и память. Полный состав: Жан-Дамасен Бизимана; Мусса Фазиль Хареримана.</w:t>
      </w:r>
    </w:p>
    <w:p>
      <w:r>
        <w:t>C2 — Социально-управленческая преемственность. Полный состав: Эдуар Нгиренте; Альбер Мурасира; Эмманюэль Угирасебуджа; Юсуф Мурангва; Уззиэль Ндагиджимана; Паула Ингабире; Сабин Нсанзимана; Клэр Акаманзи; Пуденс Рубингиса; Валентин Ругвабиза.</w:t>
      </w:r>
    </w:p>
    <w:p>
      <w:r>
        <w:t>C3 — Программное обновление и доступность благ. Полный состав: Франк Хабинеза; Виктуар Ингабире Умухоза.</w:t>
      </w:r>
    </w:p>
    <w:p>
      <w:r>
        <w:t>C4 — Разнородные менее выраженные измеренные профили. Полный состав: Поль Кагаме; Жюстен Нсенгийюмва; Венсан Бирута; Оливье Ндухунгирехе; Джеймс Кабаребе; Жювеналь Маризамунда; Жюдит Увизейе; Валентин Увамария; Жанна д’Арк Муджавамария; Жерардин Мукешимана; Ильдефонс Мусафири; Жан-Клод Мусабийимана; Франсис Гатаре; Гертруда Казарва; Донатиль Мукабалиса; Франсуа-Ксавье Калинда; Огюстен Иямуремье; Альвера Мукабарамба; Самуэль Дусенгийюмва; Филипп Мпайимана; Диана Рвигара; Луиза Мушикивабо; Клавер Гатете.</w:t>
      </w:r>
    </w:p>
    <w:p>
      <w:pPr>
        <w:pStyle w:val="Heading1"/>
      </w:pPr>
      <w:r>
        <w:t>8 Индивидуальная неопределённость и границы</w:t>
      </w:r>
    </w:p>
    <w:p>
      <w:r>
        <w:t>Для просмотра границ сохраняются silhouette каждого объекта, расстояние до собственного и ближайшего альтернативного центроида и margin=(d_alt−d_own)/max(d_own,d_alt). Ward-членство остаётся срезом иерархии: ближайший центроид не переназначает участника, а отрицательный margin допустим. Отмечается ручная проверка, если conditional same-cluster fraction&lt;0,8 хотя бы в одном эксперименте, silhouette&lt;0 или margin&lt;0,1; это диагностические эвристики, не вероятностная классификация.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0"/>
        <w:gridCol w:w="1244"/>
        <w:gridCol w:w="2074"/>
        <w:gridCol w:w="1322"/>
        <w:gridCol w:w="1667"/>
        <w:gridCol w:w="1244"/>
      </w:tblGrid>
      <w:tr>
        <w:trPr>
          <w:tblHeader w:val="true"/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Участник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k4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Subsample same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MI same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Silhouette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Margin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Жерардин Мукешимана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0.975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0.300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0.156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+0.278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Ильдефонс Мусафири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0.988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0.400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0.456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+0.767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Джеймс Кабаребе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0.738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0.500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-0.155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-0.177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Филипп Мпайимана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0.654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0.500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0.347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+0.330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Поль Кагаме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0.707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0.600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0.393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+0.507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Альбер Мурасира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0.712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0.600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0.112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+0.184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Валентин Увамария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0.974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0.600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0.204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+0.353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Жан-Клод Мусабийимана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0.974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0.600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0.159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+0.291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Диана Рвигара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0.679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0.600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0.468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+0.544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Франсуа-Ксавье Калинда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0.667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0.426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+0.506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Сабин Нсанзимана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0.896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0.294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+0.395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Клэр Акаманзи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0.852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0.210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+0.340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Донатиль Мукабалиса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1.000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0.460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+0.727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Пуденс Рубингиса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0.707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0.127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+0.216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Жювеналь Маризамунда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0.730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0.800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0.479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+0.551</w:t>
            </w:r>
          </w:p>
        </w:tc>
      </w:tr>
      <w:tr>
        <w:trPr>
          <w:cantSplit w:val="true"/>
        </w:trPr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Огюстен Иямуремье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0.774</w:t>
            </w:r>
          </w:p>
        </w:tc>
        <w:tc>
          <w:tcPr>
            <w:tcW w:type="dxa" w:w="1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0.800</w:t>
            </w:r>
          </w:p>
        </w:tc>
        <w:tc>
          <w:tcPr>
            <w:tcW w:type="dxa" w:w="16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0.260</w:t>
            </w:r>
          </w:p>
        </w:tc>
        <w:tc>
          <w:tcPr>
            <w:tcW w:type="dxa" w:w="12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+0.340</w:t>
            </w:r>
          </w:p>
        </w:tc>
      </w:tr>
    </w:tbl>
    <w:p>
      <w:pPr>
        <w:spacing w:after="80"/>
      </w:pPr>
    </w:p>
    <w:p>
      <w:r>
        <w:t>Полные частоты всех37 объектов, матрицы совместного присутствия/членства37×37 и реализации повторов доступны в cluster_candidates_q3.json. Список выше не изменяет членство и не объявляет остальных безусловно устойчивыми. Не проверена независимость всех эпизодов, и не проведена независимая человеческая межэкспертная оценка. Общий тип источника, аудитория выступления и повторное описание одного события могут создавать ковариации без соответствующей латентной политической установки.</w:t>
      </w:r>
    </w:p>
    <w:p>
      <w:pPr>
        <w:pStyle w:val="Heading1"/>
      </w:pPr>
      <w:r>
        <w:t>9 Российская тема и пределы политологического вывода</w:t>
      </w:r>
    </w:p>
    <w:p>
      <w:r>
        <w:t>Шесть утверждённых российских семантических семей дают12 независимых свойств. В исходной матрице42×12 имеется14 известных интенсивностей из504; ни одна тематическая переменная не прошла прежний порог, в FA их0. Разреженный блок не заполнялся по должности, общим факторам или членству в группе. Критерий «фактор с долей ≥2% общей стандартизованной дисперсии» сейчас не проверяем: недостаточность измерения не равна отсутствию российского измерения и не равна его нулевой доле.</w:t>
      </w:r>
    </w:p>
    <w:p>
      <w:r>
        <w:t>В предусмотренном протоколе потенциальный тематический фактор должен иметь |loading|≥0,35 по минимум трём различным семантическим семьям, долю≥0,02 от ВСЕЙ стандартизованной дисперсии и устойчивый смысл при сравнении q/вращений. Два индикатора — только условный кандидат; положительный и отрицательный полюс одной семьи не считаются двумя независимыми подтверждениями. Даже три семьи дают numeric_candidate с незавершённым аудитом независимости событий и специфичности темы, а не автоматически доказанный фактор. Требование не даёт права вращать оси ради желаемой причины.</w:t>
      </w:r>
    </w:p>
    <w:p>
      <w:r>
        <w:t>Из расстояний и кластеров нельзя вывести личную симпатию к России, скрытые убеждения, общий электорат, причинную мотивацию, фактическую коалицию или полноту публичного политического пространства. Формулируются связи документированных оценок в выбранном корпусе. Объекты с бедным корпусом могут выглядеть менее интенсивными даже при корректно сохранённых unknown; аналитическая модель не устраняет этот предел измерения.</w:t>
      </w:r>
    </w:p>
    <w:p>
      <w:pPr>
        <w:pStyle w:val="Heading1"/>
      </w:pPr>
      <w:r>
        <w:t>10 Воспроизведение и файлы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72"/>
        <w:gridCol w:w="7308"/>
      </w:tblGrid>
      <w:tr>
        <w:trPr>
          <w:tblHeader w:val="true"/>
          <w:cantSplit w:val="true"/>
        </w:trPr>
        <w:tc>
          <w:tcPr>
            <w:tcW w:type="dxa" w:w="27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7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Версия фактического локального окружения</w:t>
            </w:r>
          </w:p>
        </w:tc>
      </w:tr>
      <w:tr>
        <w:trPr>
          <w:cantSplit w:val="true"/>
        </w:trPr>
        <w:tc>
          <w:tcPr>
            <w:tcW w:type="dxa" w:w="27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Python</w:t>
            </w:r>
          </w:p>
        </w:tc>
        <w:tc>
          <w:tcPr>
            <w:tcW w:type="dxa" w:w="7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3.10.8</w:t>
            </w:r>
          </w:p>
        </w:tc>
      </w:tr>
      <w:tr>
        <w:trPr>
          <w:cantSplit w:val="true"/>
        </w:trPr>
        <w:tc>
          <w:tcPr>
            <w:tcW w:type="dxa" w:w="27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NumPy</w:t>
            </w:r>
          </w:p>
        </w:tc>
        <w:tc>
          <w:tcPr>
            <w:tcW w:type="dxa" w:w="7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2.2.6</w:t>
            </w:r>
          </w:p>
        </w:tc>
      </w:tr>
      <w:tr>
        <w:trPr>
          <w:cantSplit w:val="true"/>
        </w:trPr>
        <w:tc>
          <w:tcPr>
            <w:tcW w:type="dxa" w:w="27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pandas</w:t>
            </w:r>
          </w:p>
        </w:tc>
        <w:tc>
          <w:tcPr>
            <w:tcW w:type="dxa" w:w="7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2.3.3</w:t>
            </w:r>
          </w:p>
        </w:tc>
      </w:tr>
      <w:tr>
        <w:trPr>
          <w:cantSplit w:val="true"/>
        </w:trPr>
        <w:tc>
          <w:tcPr>
            <w:tcW w:type="dxa" w:w="27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SciPy</w:t>
            </w:r>
          </w:p>
        </w:tc>
        <w:tc>
          <w:tcPr>
            <w:tcW w:type="dxa" w:w="7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1.15.3</w:t>
            </w:r>
          </w:p>
        </w:tc>
      </w:tr>
      <w:tr>
        <w:trPr>
          <w:cantSplit w:val="true"/>
        </w:trPr>
        <w:tc>
          <w:tcPr>
            <w:tcW w:type="dxa" w:w="27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scikit-learn</w:t>
            </w:r>
          </w:p>
        </w:tc>
        <w:tc>
          <w:tcPr>
            <w:tcW w:type="dxa" w:w="7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1.7.2</w:t>
            </w:r>
          </w:p>
        </w:tc>
      </w:tr>
      <w:tr>
        <w:trPr>
          <w:cantSplit w:val="true"/>
        </w:trPr>
        <w:tc>
          <w:tcPr>
            <w:tcW w:type="dxa" w:w="27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joblib</w:t>
            </w:r>
          </w:p>
        </w:tc>
        <w:tc>
          <w:tcPr>
            <w:tcW w:type="dxa" w:w="73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1.5.2</w:t>
            </w:r>
          </w:p>
        </w:tc>
      </w:tr>
    </w:tbl>
    <w:p>
      <w:pPr>
        <w:spacing w:after="80"/>
      </w:pPr>
    </w:p>
    <w:p>
      <w:r>
        <w:t>Основной seed20261015. Версии официальных online stable-документов могут быть новее установленной среды; воспроизводящий источник истины — сохранённый код, параметры и версии выше. Скрипты ниже пишут только новые каталоги, не канонические рейтинги. Для Windows в данном workspace python — C:/Users/USER/progects/Politic_parties/venv/Scripts/python.exe. Команды из корня проекта; -B исключает pycache.</w:t>
      </w:r>
    </w:p>
    <w:p>
      <w:r>
        <w:t>python -B -X utf8 scripts/compare_rwanda_ward_q3.py --frozen-inputs "studies/rwanda-politicians-2021-2026/output/cluster_candidates_q3" --output-dir ".service_runtime/reproduce_ward_q3"</w:t>
      </w:r>
    </w:p>
    <w:p>
      <w:r>
        <w:t>python -B -X utf8 scripts/compare_rwanda_strict_flags.py --frozen-inputs "studies/rwanda-politicians-2021-2026/output/strict_without_flags" --output-dir ".service_runtime/reproduce_strict_flags"</w:t>
      </w:r>
    </w:p>
    <w:p>
      <w:r>
        <w:t>python -B -X utf8 scripts/compare_rwanda_imputation.py "studies/rwanda-politicians-2021-2026" --output-dir ".service_runtime/reproduce_imputation" --repeats 20 --mask-fraction .12 --posterior-draws 10 --q 2 3 4 --seed 20261015</w:t>
      </w:r>
    </w:p>
    <w:p>
      <w:r>
        <w:t>python -B -X utf8 -m unittest tests.test_ward_review -v</w:t>
      </w:r>
    </w:p>
    <w:p>
      <w:r>
        <w:t>Для идентичных numerical results imputation-команды текущие scope/scales/ratings должны совпадать с сохранённым input_receipt. При поздней правке study.analysis его побайтовый SHA закономерно изменится, хотя матрица может остаться той же; для точного первоначального состояния используйте source_study/source_ratings. Численные снимки не подменяются новым каноническим study при повторном запуске Ward. Обучать факторы повторно для применения готовых scores к диаграммам не требуется.</w:t>
      </w:r>
    </w:p>
    <w:p>
      <w:r>
        <w:t>При воспроизведении исходной импутации после изменения study создайте отдельный каталог .service_runtime/imputation_frozen_study, скопируйте туда cluster_candidates_q3/source_study.json под именем study.json и source_ratings.json под именем ratings.json, затем замените аргумент study_dir в указанной imputation-команде этим каталогом. Канонические файлы копировать поверх или откатывать не требуется. Старые пути в receipts могут отличаться; сопоставляются также значения хешей и точные object_order/trait_order.</w:t>
      </w:r>
    </w:p>
    <w:p>
      <w:r>
        <w:t>Четыре целевых Ward-теста прошли: инвариантность к отражению/перестановке осей; условные знаменатели co-membership и перестановка меток; unknown не равен0 и centroid не переназначает Ward-членство; end-to-end точное совпадение с существующим posterior при пропусках и сохранение входов. Тестовые данные синтетические и не используются как эмпирические результаты Руанды.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03"/>
        <w:gridCol w:w="4577"/>
      </w:tblGrid>
      <w:tr>
        <w:trPr>
          <w:tblHeader w:val="true"/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Файл от корня проекта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SHA-256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studies/rwanda-politicians-2021-2026/output/cluster_candidates_q3.json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87901fd11398a31364fcd98a99c91297b3fb74067cde2740a048db292c55fdd4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studies/rwanda-politicians-2021-2026/output/cluster_candidates_q3/source_study.json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9f3933dc6393ac4bfa6a551dae00c1589342a3cc76fd6949e8c0f30179b77214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studies/rwanda-politicians-2021-2026/output/cluster_candidates_q3/source_ratings.json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e43727c8437c87108d1e5bb954e2eaf5f852096becd734777a14abcad1988687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studies/rwanda-politicians-2021-2026/output/cluster_candidates_q3/source_factor_preview.json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4b0a1e5c9bf3c9c2df5b6790037a080262428cdce4ea1e68064a79c35ecf39ad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studies/rwanda-politicians-2021-2026/output/cluster_candidates_q3/factor_parameters_q3.json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c26aef3b772493d5a99949ea32f84601eb3b1236e025cd463290338ec4404abd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studies/rwanda-politicians-2021-2026/output/cluster_candidates_q3/matrix_observed.csv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b0b0657ecd326bde10a0b62216b77ca78f0fdbf2b716556b7b7848fc85157881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studies/rwanda-politicians-2021-2026/output/cluster_candidates_q3/loadings_q3.csv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cd8b9a6c363bfc77df83fda426c88347d7b4dd2c22d78b992e68a0669a38ca79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studies/rwanda-politicians-2021-2026/output/cluster_candidates_q3/scores_raw.csv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59fdf23535c271da7afc8c38e71d433d24655bb9bcce8c3272af0b8f736c93a9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studies/rwanda-politicians-2021-2026/output/cluster_candidates_q3/scores_display.csv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de740173dc7ded7f36acd023197e678d0a8a5602e82ed1e6005dd74144c6b0cc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studies/rwanda-politicians-2021-2026/output/cluster_candidates_q3/labels_k4.csv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4e389ba4cfb8fa48ac0fd42ed41f5b598d0a5ac032ad46ec74235a9b9e6af87c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studies/rwanda-politicians-2021-2026/output/cluster_candidates_q3/ward_linkage.csv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6193024d343990428bd16460cf1542d2fa5a6c2fa46691fa1c62ed9377870704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studies/rwanda-politicians-2021-2026/output/imputation_review_2026-10-15.json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404defb46dff8e666af03968d354d9a824b75fcf45bb6b0d2328cbc97f16c6fb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studies/rwanda-politicians-2021-2026/output/strict_without_flags/COMPARISON.json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664b21a6ac483021390d8c69d2931c4da6c63c73d7f5c9ea5d33e71ba33af39b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studies/rwanda-politicians-2021-2026/attempts/independent_before_review/ratings.json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e0be0fc5f95e0868d45eb9ac431ec6f79ded091d458bbe06f5dbf9bc653a09ae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studies/rwanda-politicians-2021-2026/attempts/independent_before_completion/ratings.json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045e3c56eba2e87f8e2963818ad31635f904d90f2c63804438477108606ba9f3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studies/rwanda-politicians-2021-2026/attempts/independent_before_coverage_expansion/ratings.json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98123f0b8acabf36e11537e1dbaf547b2cb468e22c3c8f6be9b4aa0bc5d7b5fa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scripts/latent_space_benchmark.py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fac1995956d9780c06e38244d18a556778e87c65d0533e775eed16991f81cd77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src/semantic_service/analysis.py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15fb58228934c050d64bd8271aa6b2fe8ddc0be411b5c4ee22a3eb0e88d9b077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src/semantic_service/factor_preview.py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873837a3a9467c7984661de3761e41a5e6ea37a22b078f1fc2961f8528b708eb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src/semantic_service/imputation_review.py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44c6dcb11a809c1d98801f7ff71f2a2919607cb1d5e9dc3c1bfdd17d34ecc3a3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src/semantic_service/ward_review.py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976c72efef93a5c29e95cdb7d89ef6cb342f5d1360da614a49c9e213ca1fa03a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scripts/compare_rwanda_ward_q3.py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99c2af28d1fba761856b5110cd2a41b5eeb4ccd2070d5e822eafe6995c4144d8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scripts/compare_rwanda_strict_flags.py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d3d7b847b28f054dd50af55161c090ebdbf7545edd61c5adc57bc58741d4cf21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scripts/compare_rwanda_imputation.py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4650be9b6fafb3cb187e9b4a553e8d6ceae82ae861ca065636f0a06b5dca4046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scripts/write_rwanda_q3_technical.py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b76d7e0596fc558dbb55e8f7fdb9fa123c8f110d742f7f7aa0b3c1164d1fdd31</w:t>
            </w:r>
          </w:p>
        </w:tc>
      </w:tr>
      <w:tr>
        <w:trPr>
          <w:cantSplit w:val="true"/>
        </w:trPr>
        <w:tc>
          <w:tcPr>
            <w:tcW w:type="dxa" w:w="5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tests/test_ward_review.py</w:t>
            </w:r>
          </w:p>
        </w:tc>
        <w:tc>
          <w:tcPr>
            <w:tcW w:type="dxa" w:w="45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5e6891e955d96a90a4679c7e8647aa7e5ec9e3757b23ad1e4be1170f9ccadd8b</w:t>
            </w:r>
          </w:p>
        </w:tc>
      </w:tr>
    </w:tbl>
    <w:p>
      <w:pPr>
        <w:spacing w:after="80"/>
      </w:pPr>
    </w:p>
    <w:p>
      <w:r>
        <w:t>Файлы matrix_observed/scores/loadings/labels CSV имеют явные id и сохранённый порядок; JSON содержит полные имена, все observed/unknown и входную маску. scores_raw — F1/F2/F3; scores_display — X1=−F1,X2=F2,X3=F3. SHA фиксируют фактические байты этой сборки; Git-политика должна сохранять байты исследовательских снимков. Технический JSON не пересчитывает и не перезаписывает эти численные файлы.</w:t>
      </w:r>
    </w:p>
    <w:p>
      <w:pPr>
        <w:pStyle w:val="Heading1"/>
      </w:pPr>
      <w:r>
        <w:t>Приложение координаты всех 37 объектов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0"/>
        <w:gridCol w:w="1246"/>
        <w:gridCol w:w="1444"/>
        <w:gridCol w:w="1444"/>
        <w:gridCol w:w="1444"/>
        <w:gridCol w:w="1880"/>
      </w:tblGrid>
      <w:tr>
        <w:trPr>
          <w:tblHeader w:val="true"/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Полное имя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k4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X1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X2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X3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C4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Известно из8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Поль Кагаме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-1.54799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-0.28490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+0.30727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Эдуар Нгиренте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+1.25394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-0.05042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+1.16899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Жюстен Нсенгийюмва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-0.39447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-0.34042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-0.60778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Венсан Бирута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-0.36534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-0.39027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-0.81259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Оливье Ндухунгирехе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-0.26214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-0.36663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-0.32394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Джеймс Кабаребе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+0.82720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-1.64704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+0.45955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Жювеналь Маризамунда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-1.65201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-0.18727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-0.94451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Альбер Мурасира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-0.22067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-0.32905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+0.97814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Эмманюэль Угирасебуджа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+1.29858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-0.10730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+1.06523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Юсуф Мурангва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+1.15224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-0.24925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+0.60663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Уззиэль Ндагиджимана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+1.07416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-0.18306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+0.08473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Паула Ингабире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+1.18120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-0.06992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+1.67514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Сабин Нсанзимана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-0.10763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-0.17596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+1.56304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Жюдит Увизейе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-0.24473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-0.01238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+0.00110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Валентин Увамария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-0.13726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-0.12857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+0.29393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Жанна д’Арк Муджавамария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-0.43034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-0.41508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-0.55631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Жерардин Мукешимана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+0.10405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-0.58454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+0.17593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Ильдефонс Мусафири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-0.33547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-0.20234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-0.00347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Жан-Клод Мусабийимана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-0.16316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-0.13109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+0.37627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Жан-Дамасен Бизимана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+2.15386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+0.21008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-2.39085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Клэр Акаманзи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+0.93387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-0.33629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-0.04509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Франсис Гатаре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-0.42446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-1.78493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-0.17108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Гертруда Казарва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-0.29081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-0.27307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-0.16858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Донатиль Мукабалиса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-0.30565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-0.02594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-0.12330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Франсуа-Ксавье Калинда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-1.44677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+0.41429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-0.10976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Огюстен Иямуремье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-0.36043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-1.62112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+0.16213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Альвера Мукабарамба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-0.30673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-0.38428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-1.03851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Мусса Фазиль Хареримана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+2.32951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-0.09077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-1.61235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Пуденс Рубингиса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-0.20704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-0.18845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+0.96061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Самуэль Дусенгийюмва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-0.27733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-0.24228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-0.24386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Франк Хабинеза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-1.21363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+2.60606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+1.33456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Филипп Мпайимана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-1.53922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+1.06020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-0.42133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Виктуар Ингабире Умухоза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+0.35549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+4.15036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-1.24880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Диана Рвигара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-1.58155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+0.21459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-0.41749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Луиза Мушикивабо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-0.29777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-0.24485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-0.99272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Клавер Гатете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-0.33628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-0.30589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-0.31496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26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Валентин Ругвабиза</w:t>
            </w:r>
          </w:p>
        </w:tc>
        <w:tc>
          <w:tcPr>
            <w:tcW w:type="dxa" w:w="1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+1.19313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+1.12389</w:t>
            </w:r>
          </w:p>
        </w:tc>
        <w:tc>
          <w:tcPr>
            <w:tcW w:type="dxa" w:w="14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+0.52183</w:t>
            </w:r>
          </w:p>
        </w:tc>
        <w:tc>
          <w:tcPr>
            <w:tcW w:type="dxa" w:w="1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14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3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283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 w:line="283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83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83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60"/>
    </w:pPr>
    <w:rPr>
      <w:rFonts w:ascii="Arial" w:hAnsi="Arial"/>
      <w:b/>
      <w:bCs/>
      <w:color w:val="555B63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ikit-learn.org/stable/modules/generated/sklearn.decomposition.FactorAnalysis.html" TargetMode="External"/><Relationship Id="rId10" Type="http://schemas.openxmlformats.org/officeDocument/2006/relationships/hyperlink" Target="https://scikit-learn.org/stable/modules/impute.html" TargetMode="External"/><Relationship Id="rId11" Type="http://schemas.openxmlformats.org/officeDocument/2006/relationships/hyperlink" Target="https://scikit-learn.org/stable/modules/generated/sklearn.impute.IterativeImputer.html" TargetMode="External"/><Relationship Id="rId12" Type="http://schemas.openxmlformats.org/officeDocument/2006/relationships/hyperlink" Target="https://docs.scipy.org/doc/scipy/reference/generated/scipy.cluster.hierarchy.ward.html" TargetMode="External"/><Relationship Id="rId13" Type="http://schemas.openxmlformats.org/officeDocument/2006/relationships/hyperlink" Target="https://scikit-learn.org/stable/modules/clustering.html#adjusted-rand-index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Технический отчёт исследования Руанды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