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Пример ранее собранные партии</w:t>
      </w:r>
    </w:p>
    <w:p>
      <w:pPr>
        <w:pStyle w:val="Heading1"/>
      </w:pPr>
      <w:r>
        <w:t>Технический пример ограничения исходных данных</w:t>
      </w:r>
    </w:p>
    <w:p>
      <w:r>
        <w:t>ТЕХНИЧЕСКИЙ ПРИМЕР НА ПРЕЖНИХ ДАННЫХ. Это повторный анализ ранее сохранённых модельных оценок 95 партий по первым 40 признакам исходного словаря. Это не новое исследование и не результат исследования 70 российских политиков. Новые источники не собирались, LLM не вызывалась, старый словарь не проходил новую нормализацию. Оценка x по прежней шкале 0–10 перенесена как value = x − 5. Два полюса независимо не оценивались; их сумма и смешанность по этим данным не определяются. Ноль в примере означает прежнюю оценку 5, а не доказанную невыраженность обоих свойств. Отметки утверждения принадлежат импортированному примеру, а не пользователю.</w:t>
      </w:r>
    </w:p>
    <w:p>
      <w:r>
        <w:t>Область: Международное пространство политических партий из прежней выборки. Аспект: Старые модельные оценки партий. Исторический период в сохранённой матрице не зафиксирован. Пример не относится к новой выборке российских политиков 2016–2026 годов.</w:t>
      </w:r>
    </w:p>
    <w:p>
      <w:pPr>
        <w:pStyle w:val="Heading1"/>
      </w:pPr>
      <w:r>
        <w:t>Основные результаты</w:t>
      </w:r>
    </w:p>
    <w:p>
      <w:r>
        <w:t>Проанализировано 95 объектов по 40 пригодным шкалам. Факторная модель содержит 4 осей; суммарная описанная дисперсия стандартизованных переменных — 84.3%. Получено 5 групп объектов. Это техническая демонстрация нового анализа прежних оценок, а не заново выполненное исследование или валидация исходного измерения.</w:t>
      </w:r>
    </w:p>
    <w:p>
      <w:r>
        <w:t>Группы выделены по численным профилям объектов. Их названия — интерпретации модели; они не доказывают общность реальных электоратов, личных качеств или наличие общественного спроса на незаполненные области.</w:t>
      </w:r>
    </w:p>
    <w:p>
      <w:pPr>
        <w:pStyle w:val="Heading1"/>
      </w:pPr>
      <w:r>
        <w:t>Методика</w:t>
      </w:r>
    </w:p>
    <w:p>
      <w:r>
        <w:t>Прежняя целевая международная выборка 95 партий; первые 40 сохранённых шкал взяты только для технической демонстрации, а не как валидированная короткая форма.</w:t>
      </w:r>
    </w:p>
    <w:p>
      <w:r>
        <w:t>Досье и источники в этом примере не пересобирались. Импортированы 95 строк старой матрицы и первые 40 признаков сохранённого словаря. Близкие формулировки и разные уровни описания могли сохраниться; короткая форма не валидирована. Утверждения помечены actor=imported_example_fixture и не являются решениями пользователя.</w:t>
      </w:r>
    </w:p>
    <w:p>
      <w:r>
        <w:t>Импортирована прежняя оценка x из диапазона 0–10; для нового численного конвейера использовано value=x−5. Независимые оценки двух полюсов отсутствуют, сумма полюсов неизвестна. Пропуск сохранён как unknown. Ноль после сдвига означает старую оценку 5, а не невыраженность обоих свойств.</w:t>
      </w:r>
    </w:p>
    <w:p>
      <w:r>
        <w:t>Сохранённых наблюдаемых оценок: 3800 из 3800. Режим legacy_import_example. Эти числа получены прежним модельным оценщиком; новых запросов к моделям и новых человеческих оценок нет. Исходные источники не восстановлены и не проверены.</w:t>
      </w:r>
    </w:p>
    <w:p>
      <w:r>
        <w:t>Используется вероятностная Gaussian факторная модель с диагональным специфическим шумом. Координаты — условные средние факторов; рассчитывается система по числу факторов без обращения вырожденной эмпирической корреляционной матрицы. Нагрузки и баллы согласованно поворачиваются ортогональным varimax.</w:t>
      </w:r>
    </w:p>
    <w:p>
      <w:r>
        <w:t>Доля дисперсии фактора вычислена как сумма квадратов его нагрузок, делённая на число стандартизованных признаков. Сумма долей описывает общую модельную дисперсию в этом решении; это не доля населения и не оценка правильности интерпретации. Конечные шкалы рассматриваются как непрерывная разведочная аппроксимация.</w:t>
      </w:r>
    </w:p>
    <w:p>
      <w:r>
        <w:t>Число факторов сопоставляется с диагностикой размерности, качеством модели и интерпретируемостью. Для кластеризации сравниваются несколько k, силуэт, размеры и устойчивость на подвыборках; k можно изменить и сравнить. t-SNE служит иллюстрацией соседства и не определяет кластеры.</w:t>
      </w:r>
    </w:p>
    <w:p>
      <w:pPr>
        <w:pStyle w:val="Heading1"/>
      </w:pPr>
      <w:r>
        <w:t>Словарь измерительных шкал</w:t>
      </w:r>
    </w:p>
    <w:tbl>
      <w:tblPr>
        <w:tblW w:type="auto" w:w="0"/>
        <w:tblLayout w:type="fixed"/>
        <w:tblLook w:firstColumn="1" w:firstRow="1" w:lastColumn="0" w:lastRow="0" w:noHBand="0" w:noVBand="1" w:val="04A0"/>
      </w:tblPr>
      <w:tblGrid>
        <w:gridCol w:w="1881"/>
        <w:gridCol w:w="1881"/>
        <w:gridCol w:w="2680"/>
        <w:gridCol w:w="3638"/>
      </w:tblGrid>
      <w:tr>
        <w:trPr>
          <w:tblHeader/>
        </w:trPr>
        <w:tc>
          <w:tcPr>
            <w:tcW w:type="dxa" w:w="188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8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+5</w:t>
            </w:r>
          </w:p>
        </w:tc>
        <w:tc>
          <w:tcPr>
            <w:tcW w:type="dxa" w:w="268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−5</w:t>
            </w:r>
          </w:p>
        </w:tc>
        <w:tc>
          <w:tcPr>
            <w:tcW w:type="dxa" w:w="363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Определение</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социал-демократическая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социал-демократическая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социал-демократическая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центр-левая</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центр-левая</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центр-левая</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прогрессивная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прогрессивная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прогрессивная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ориентирована на рабочий класс</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ориентирована на рабочий класс</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ориентирована на рабочий класс</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государства всеобщего благосостояния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государства всеобщего благосостояния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поддержка государства всеобщего благосостояния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интернационализм</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интернационализм</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интернационализм</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солидарность</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солидарность</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солидарность</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гендерное равенство</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гендерное равенство</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гендерное равенство</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экологическая ответственность</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экологическая ответственность</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экологическая ответственность</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реформизм</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реформизм</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реформизм</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прагматизм</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прагматизм</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прагматизм</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сильные профсоюзы</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сильные профсоюзы</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сильные профсоюзы</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инклюзивность</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инклюзивность</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инклюзивность</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антидискриминация</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антидискриминация</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антидискриминация</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европеизм</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европеизм</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европеизм</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правоцентристская</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правоцентристская</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правоцентристская</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либерально-консервативная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либерально-консервативная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либерально-консервативная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экономический либерализм</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экономический либерализм</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экономический либерализм</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свободного рынка</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свободного рынка</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поддержка свободного рынка</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снижение налогов</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снижение налогов</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снижение налогов</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жёсткая политика в сфере правопорядка</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жёсткая политика в сфере правопорядка</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жёсткая политика в сфере правопорядка</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проевропейская</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проевропейская</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проевропейская</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ориентация на бизнес</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ориентация на бизнес</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ориентация на бизнес</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рациональный прагматизм</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рациональный прагматизм</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рациональный прагматизм</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реформаторская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реформаторская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реформаторская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средний класс</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средний класс</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ориентация на средний класс</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частного сектора</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частного сектора</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поддержка частного сектора</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скептицизм к расширению социальной политики</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скептицизм к расширению социальной политики</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скептицизм к расширению социальной политики</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традиционные семейные ценности</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традиционные семейные ценности</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традиционные семейные ценности</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городское население</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городское население</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ориентация на городское население</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националистическая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националистическая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националистическая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правопопулистская</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правопопулистская</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правопопулистская</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антииммиграционная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антииммиграционная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антииммиграционная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евроскептическая</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евроскептическая</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евроскептическая</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консервативная</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консервативная</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консервативная</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протестная</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протестная</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протестная</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мультикультурализма</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мультикультурализма</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критика мультикультурализма</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социально-консервативные ценности</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социально-консервативные ценности</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социально-консервативные ценности</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защитники шведской идентичности</w:t>
            </w:r>
          </w:p>
        </w:tc>
        <w:tc>
          <w:tcPr>
            <w:tcW w:type="dxa" w:w="18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защитники шведской идентичности</w:t>
            </w:r>
          </w:p>
        </w:tc>
        <w:tc>
          <w:tcPr>
            <w:tcW w:type="dxa" w:w="26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защитники шведской идентичности</w:t>
            </w:r>
          </w:p>
        </w:tc>
        <w:tc>
          <w:tcPr>
            <w:tcW w:type="dxa" w:w="36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r>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скептицизм к глобализации</w:t>
            </w:r>
          </w:p>
        </w:tc>
        <w:tc>
          <w:tcPr>
            <w:tcW w:type="dxa" w:w="18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скептицизм к глобализации</w:t>
            </w:r>
          </w:p>
        </w:tc>
        <w:tc>
          <w:tcPr>
            <w:tcW w:type="dxa" w:w="26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Слабая выраженность: скептицизм к глобализации</w:t>
            </w:r>
          </w:p>
        </w:tc>
        <w:tc>
          <w:tcPr>
            <w:tcW w:type="dxa" w:w="36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Учебный перенос старой шкалы 0..10 через x−5; не заново оценённая пара антонимов</w:t>
            </w:r>
          </w:p>
        </w:tc>
      </w:tr>
    </w:tbl>
    <w:p>
      <w:pPr>
        <w:spacing w:after="80"/>
      </w:pPr>
    </w:p>
    <w:p>
      <w:pPr>
        <w:pStyle w:val="Heading1"/>
      </w:pPr>
      <w:r>
        <w:t>Факторная структура</w:t>
      </w:r>
    </w:p>
    <w:tbl>
      <w:tblPr>
        <w:tblW w:type="auto" w:w="0"/>
        <w:tblLayout w:type="fixed"/>
        <w:tblLook w:firstColumn="1" w:firstRow="1" w:lastColumn="0" w:lastRow="0" w:noHBand="0" w:noVBand="1" w:val="04A0"/>
      </w:tblPr>
      <w:tblGrid>
        <w:gridCol w:w="1567"/>
        <w:gridCol w:w="5900"/>
        <w:gridCol w:w="2613"/>
      </w:tblGrid>
      <w:tr>
        <w:trPr>
          <w:tblHeader/>
        </w:trPr>
        <w:tc>
          <w:tcPr>
            <w:tcW w:type="dxa" w:w="156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w:t>
            </w:r>
          </w:p>
        </w:tc>
        <w:tc>
          <w:tcPr>
            <w:tcW w:type="dxa" w:w="590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Интерпретация</w:t>
            </w:r>
          </w:p>
        </w:tc>
        <w:tc>
          <w:tcPr>
            <w:tcW w:type="dxa" w:w="261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Доля дисперсии</w:t>
            </w:r>
          </w:p>
        </w:tc>
      </w:tr>
      <w:tr>
        <w:tc>
          <w:tcPr>
            <w:tcW w:type="dxa" w:w="156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59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социально-консервативные ценности ↔ прогрессивная</w:t>
            </w:r>
          </w:p>
        </w:tc>
        <w:tc>
          <w:tcPr>
            <w:tcW w:type="dxa" w:w="26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43.2%</w:t>
            </w:r>
          </w:p>
        </w:tc>
      </w:tr>
      <w:tr>
        <w:tc>
          <w:tcPr>
            <w:tcW w:type="dxa" w:w="156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59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солидарность ↔ поддержка свободного рынка</w:t>
            </w:r>
          </w:p>
        </w:tc>
        <w:tc>
          <w:tcPr>
            <w:tcW w:type="dxa" w:w="26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23.1%</w:t>
            </w:r>
          </w:p>
        </w:tc>
      </w:tr>
      <w:tr>
        <w:tc>
          <w:tcPr>
            <w:tcW w:type="dxa" w:w="156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59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протестная ↔ рациональный прагматизм</w:t>
            </w:r>
          </w:p>
        </w:tc>
        <w:tc>
          <w:tcPr>
            <w:tcW w:type="dxa" w:w="26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10.2%</w:t>
            </w:r>
          </w:p>
        </w:tc>
      </w:tr>
      <w:tr>
        <w:tc>
          <w:tcPr>
            <w:tcW w:type="dxa" w:w="156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F4</w:t>
            </w:r>
          </w:p>
        </w:tc>
        <w:tc>
          <w:tcPr>
            <w:tcW w:type="dxa" w:w="59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ориентирована на рабочий класс, сильные профсоюзы</w:t>
            </w:r>
          </w:p>
        </w:tc>
        <w:tc>
          <w:tcPr>
            <w:tcW w:type="dxa" w:w="26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7.8%</w:t>
            </w:r>
          </w:p>
        </w:tc>
      </w:tr>
    </w:tbl>
    <w:p>
      <w:pPr>
        <w:spacing w:after="80"/>
      </w:pPr>
    </w:p>
    <w:p>
      <w:pPr>
        <w:keepNext/>
        <w:jc w:val="center"/>
      </w:pPr>
      <w:r>
        <w:drawing>
          <wp:inline xmlns:a="http://schemas.openxmlformats.org/drawingml/2006/main" xmlns:pic="http://schemas.openxmlformats.org/drawingml/2006/picture">
            <wp:extent cx="6400800" cy="3245105"/>
            <wp:docPr id="1" name="Picture 1"/>
            <wp:cNvGraphicFramePr>
              <a:graphicFrameLocks noChangeAspect="1"/>
            </wp:cNvGraphicFramePr>
            <a:graphic>
              <a:graphicData uri="http://schemas.openxmlformats.org/drawingml/2006/picture">
                <pic:pic>
                  <pic:nvPicPr>
                    <pic:cNvPr id="0" name="variance.png"/>
                    <pic:cNvPicPr/>
                  </pic:nvPicPr>
                  <pic:blipFill>
                    <a:blip r:embed="rId9"/>
                    <a:stretch>
                      <a:fillRect/>
                    </a:stretch>
                  </pic:blipFill>
                  <pic:spPr>
                    <a:xfrm>
                      <a:off x="0" y="0"/>
                      <a:ext cx="6400800" cy="3245105"/>
                    </a:xfrm>
                    <a:prstGeom prst="rect"/>
                  </pic:spPr>
                </pic:pic>
              </a:graphicData>
            </a:graphic>
          </wp:inline>
        </w:drawing>
      </w:r>
    </w:p>
    <w:p>
      <w:pPr>
        <w:pStyle w:val="Caption"/>
      </w:pPr>
      <w:r>
        <w:t>Суммы квадратов вращённых нагрузок / общая дисперсия стандартизованных шкал. Описательные доли FA; это не доли дисперсии компонент PCA.</w:t>
      </w:r>
    </w:p>
    <w:p>
      <w:pPr>
        <w:pStyle w:val="Heading2"/>
      </w:pPr>
      <w:r>
        <w:t>F1 социально консервативные ценности прогрессивная</w:t>
      </w:r>
    </w:p>
    <w:p>
      <w:r>
        <w:t>Положительные нагрузки: социально-консервативные ценности, традиционные семейные ценности, консервативная. Отрицательные нагрузки: прогрессивная, ориентация на городское население, реформаторская. Высокая координата связана со свойствами: социально-консервативные ценности, традиционные семейные ценности, консервативная, Слабая выраженность: прогрессивная, Слабая выраженность: ориентация на городское население, Слабая выраженность: реформаторская. Низкая координата связана со свойствами: прогрессивная, ориентация на городское население, реформаторская, Слабая выраженность: социально-консервативные ценности, Слабая выраженность: традиционные семейные ценности, Слабая выраженность: консервативная. Знак оси условен. Названия описывают связи оценок; это не причинное объяснение.</w:t>
      </w:r>
    </w:p>
    <w:tbl>
      <w:tblPr>
        <w:tblW w:type="auto" w:w="0"/>
        <w:tblLayout w:type="fixed"/>
        <w:tblLook w:firstColumn="1" w:firstRow="1" w:lastColumn="0" w:lastRow="0" w:noHBand="0" w:noVBand="1" w:val="04A0"/>
      </w:tblPr>
      <w:tblGrid>
        <w:gridCol w:w="2920"/>
        <w:gridCol w:w="5029"/>
        <w:gridCol w:w="2130"/>
      </w:tblGrid>
      <w:tr>
        <w:trPr>
          <w:tblHeader/>
        </w:trPr>
        <w:tc>
          <w:tcPr>
            <w:tcW w:type="dxa" w:w="2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02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213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социально-консервативные ценности</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+0.945</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традиционные семейные ценности</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+0.932</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консервативная</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+0.860</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жёсткая политика в сфере правопорядка</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+0.818</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правопопулистская</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+0.799</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националистическая</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+0.792</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прогрессивная</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-0.888</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городское население</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-0.880</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реформаторская</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-0.875</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реформизм</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-0.867</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инклюзивность</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-0.865</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антидискриминация</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-0.861</w:t>
            </w:r>
          </w:p>
        </w:tc>
      </w:tr>
    </w:tbl>
    <w:p>
      <w:pPr>
        <w:spacing w:after="80"/>
      </w:pPr>
    </w:p>
    <w:p>
      <w:pPr>
        <w:pStyle w:val="Heading2"/>
      </w:pPr>
      <w:r>
        <w:t>F2 солидарность поддержка свободного рынка</w:t>
      </w:r>
    </w:p>
    <w:p>
      <w:r>
        <w:t>Положительные нагрузки: солидарность, поддержка государства всеобщего благосостояния, ориентирована на рабочий класс. Отрицательные нагрузки: поддержка свободного рынка, экономический либерализм, поддержка частного сектора. Высокая координата связана со свойствами: солидарность, поддержка государства всеобщего благосостояния, ориентирована на рабочий класс, Слабая выраженность: поддержка свободного рынка, Слабая выраженность: экономический либерализм, Слабая выраженность: поддержка частного сектора. Низкая координата связана со свойствами: поддержка свободного рынка, экономический либерализм, поддержка частного сектора, Слабая выраженность: солидарность, Слабая выраженность: поддержка государства всеобщего благосостояния, Слабая выраженность: ориентирована на рабочий класс. Знак оси условен. Названия описывают связи оценок; это не причинное объяснение.</w:t>
      </w:r>
    </w:p>
    <w:tbl>
      <w:tblPr>
        <w:tblW w:type="auto" w:w="0"/>
        <w:tblLayout w:type="fixed"/>
        <w:tblLook w:firstColumn="1" w:firstRow="1" w:lastColumn="0" w:lastRow="0" w:noHBand="0" w:noVBand="1" w:val="04A0"/>
      </w:tblPr>
      <w:tblGrid>
        <w:gridCol w:w="3056"/>
        <w:gridCol w:w="4795"/>
        <w:gridCol w:w="2229"/>
      </w:tblGrid>
      <w:tr>
        <w:trPr>
          <w:tblHeader/>
        </w:trPr>
        <w:tc>
          <w:tcPr>
            <w:tcW w:type="dxa" w:w="305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479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222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30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7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солидарность</w:t>
            </w:r>
          </w:p>
        </w:tc>
        <w:tc>
          <w:tcPr>
            <w:tcW w:type="dxa" w:w="22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+0.557</w:t>
            </w:r>
          </w:p>
        </w:tc>
      </w:tr>
      <w:tr>
        <w:tc>
          <w:tcPr>
            <w:tcW w:type="dxa" w:w="30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7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поддержка государства всеобщего благосостояния</w:t>
            </w:r>
          </w:p>
        </w:tc>
        <w:tc>
          <w:tcPr>
            <w:tcW w:type="dxa" w:w="22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+0.543</w:t>
            </w:r>
          </w:p>
        </w:tc>
      </w:tr>
      <w:tr>
        <w:tc>
          <w:tcPr>
            <w:tcW w:type="dxa" w:w="30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7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ориентирована на рабочий класс</w:t>
            </w:r>
          </w:p>
        </w:tc>
        <w:tc>
          <w:tcPr>
            <w:tcW w:type="dxa" w:w="22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+0.529</w:t>
            </w:r>
          </w:p>
        </w:tc>
      </w:tr>
      <w:tr>
        <w:tc>
          <w:tcPr>
            <w:tcW w:type="dxa" w:w="30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7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центр-левая</w:t>
            </w:r>
          </w:p>
        </w:tc>
        <w:tc>
          <w:tcPr>
            <w:tcW w:type="dxa" w:w="22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+0.510</w:t>
            </w:r>
          </w:p>
        </w:tc>
      </w:tr>
      <w:tr>
        <w:tc>
          <w:tcPr>
            <w:tcW w:type="dxa" w:w="30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7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социал-демократическая</w:t>
            </w:r>
          </w:p>
        </w:tc>
        <w:tc>
          <w:tcPr>
            <w:tcW w:type="dxa" w:w="22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+0.504</w:t>
            </w:r>
          </w:p>
        </w:tc>
      </w:tr>
      <w:tr>
        <w:tc>
          <w:tcPr>
            <w:tcW w:type="dxa" w:w="30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7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сильные профсоюзы</w:t>
            </w:r>
          </w:p>
        </w:tc>
        <w:tc>
          <w:tcPr>
            <w:tcW w:type="dxa" w:w="22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+0.463</w:t>
            </w:r>
          </w:p>
        </w:tc>
      </w:tr>
      <w:tr>
        <w:tc>
          <w:tcPr>
            <w:tcW w:type="dxa" w:w="30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7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свободного рынка</w:t>
            </w:r>
          </w:p>
        </w:tc>
        <w:tc>
          <w:tcPr>
            <w:tcW w:type="dxa" w:w="22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-0.977</w:t>
            </w:r>
          </w:p>
        </w:tc>
      </w:tr>
      <w:tr>
        <w:tc>
          <w:tcPr>
            <w:tcW w:type="dxa" w:w="30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7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экономический либерализм</w:t>
            </w:r>
          </w:p>
        </w:tc>
        <w:tc>
          <w:tcPr>
            <w:tcW w:type="dxa" w:w="22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-0.977</w:t>
            </w:r>
          </w:p>
        </w:tc>
      </w:tr>
      <w:tr>
        <w:tc>
          <w:tcPr>
            <w:tcW w:type="dxa" w:w="30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7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частного сектора</w:t>
            </w:r>
          </w:p>
        </w:tc>
        <w:tc>
          <w:tcPr>
            <w:tcW w:type="dxa" w:w="22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-0.914</w:t>
            </w:r>
          </w:p>
        </w:tc>
      </w:tr>
      <w:tr>
        <w:tc>
          <w:tcPr>
            <w:tcW w:type="dxa" w:w="30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7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бизнес</w:t>
            </w:r>
          </w:p>
        </w:tc>
        <w:tc>
          <w:tcPr>
            <w:tcW w:type="dxa" w:w="22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-0.914</w:t>
            </w:r>
          </w:p>
        </w:tc>
      </w:tr>
      <w:tr>
        <w:tc>
          <w:tcPr>
            <w:tcW w:type="dxa" w:w="30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7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снижение налогов</w:t>
            </w:r>
          </w:p>
        </w:tc>
        <w:tc>
          <w:tcPr>
            <w:tcW w:type="dxa" w:w="22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-0.860</w:t>
            </w:r>
          </w:p>
        </w:tc>
      </w:tr>
      <w:tr>
        <w:tc>
          <w:tcPr>
            <w:tcW w:type="dxa" w:w="30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7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правоцентристская</w:t>
            </w:r>
          </w:p>
        </w:tc>
        <w:tc>
          <w:tcPr>
            <w:tcW w:type="dxa" w:w="22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-0.697</w:t>
            </w:r>
          </w:p>
        </w:tc>
      </w:tr>
    </w:tbl>
    <w:p>
      <w:pPr>
        <w:spacing w:after="80"/>
      </w:pPr>
    </w:p>
    <w:p>
      <w:pPr>
        <w:pStyle w:val="Heading2"/>
      </w:pPr>
      <w:r>
        <w:t>F3 протестная рациональный прагматизм</w:t>
      </w:r>
    </w:p>
    <w:p>
      <w:r>
        <w:t>Положительные нагрузки: протестная, скептицизм к глобализации, правопопулистская. Отрицательные нагрузки: рациональный прагматизм, прагматизм, проевропейская. Высокая координата связана со свойствами: протестная, скептицизм к глобализации, правопопулистская, Слабая выраженность: рациональный прагматизм, Слабая выраженность: прагматизм, Слабая выраженность: проевропейская. Низкая координата связана со свойствами: рациональный прагматизм, прагматизм, проевропейская, Слабая выраженность: протестная, Слабая выраженность: скептицизм к глобализации, Слабая выраженность: правопопулистская. Знак оси условен. Названия описывают связи оценок; это не причинное объяснение.</w:t>
      </w:r>
    </w:p>
    <w:tbl>
      <w:tblPr>
        <w:tblW w:type="auto" w:w="0"/>
        <w:tblLayout w:type="fixed"/>
        <w:tblLook w:firstColumn="1" w:firstRow="1" w:lastColumn="0" w:lastRow="0" w:noHBand="0" w:noVBand="1" w:val="04A0"/>
      </w:tblPr>
      <w:tblGrid>
        <w:gridCol w:w="3400"/>
        <w:gridCol w:w="4201"/>
        <w:gridCol w:w="2480"/>
      </w:tblGrid>
      <w:tr>
        <w:trPr>
          <w:tblHeader/>
        </w:trPr>
        <w:tc>
          <w:tcPr>
            <w:tcW w:type="dxa" w:w="340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42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248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34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2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протестная</w:t>
            </w:r>
          </w:p>
        </w:tc>
        <w:tc>
          <w:tcPr>
            <w:tcW w:type="dxa" w:w="24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+0.797</w:t>
            </w:r>
          </w:p>
        </w:tc>
      </w:tr>
      <w:tr>
        <w:tc>
          <w:tcPr>
            <w:tcW w:type="dxa" w:w="34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2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скептицизм к глобализации</w:t>
            </w:r>
          </w:p>
        </w:tc>
        <w:tc>
          <w:tcPr>
            <w:tcW w:type="dxa" w:w="24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+0.539</w:t>
            </w:r>
          </w:p>
        </w:tc>
      </w:tr>
      <w:tr>
        <w:tc>
          <w:tcPr>
            <w:tcW w:type="dxa" w:w="34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2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правопопулистская</w:t>
            </w:r>
          </w:p>
        </w:tc>
        <w:tc>
          <w:tcPr>
            <w:tcW w:type="dxa" w:w="24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+0.519</w:t>
            </w:r>
          </w:p>
        </w:tc>
      </w:tr>
      <w:tr>
        <w:tc>
          <w:tcPr>
            <w:tcW w:type="dxa" w:w="34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2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мультикультурализма</w:t>
            </w:r>
          </w:p>
        </w:tc>
        <w:tc>
          <w:tcPr>
            <w:tcW w:type="dxa" w:w="24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+0.441</w:t>
            </w:r>
          </w:p>
        </w:tc>
      </w:tr>
      <w:tr>
        <w:tc>
          <w:tcPr>
            <w:tcW w:type="dxa" w:w="34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2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антииммиграционная</w:t>
            </w:r>
          </w:p>
        </w:tc>
        <w:tc>
          <w:tcPr>
            <w:tcW w:type="dxa" w:w="24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+0.440</w:t>
            </w:r>
          </w:p>
        </w:tc>
      </w:tr>
      <w:tr>
        <w:tc>
          <w:tcPr>
            <w:tcW w:type="dxa" w:w="34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42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националистическая</w:t>
            </w:r>
          </w:p>
        </w:tc>
        <w:tc>
          <w:tcPr>
            <w:tcW w:type="dxa" w:w="24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+0.385</w:t>
            </w:r>
          </w:p>
        </w:tc>
      </w:tr>
      <w:tr>
        <w:tc>
          <w:tcPr>
            <w:tcW w:type="dxa" w:w="34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2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рациональный прагматизм</w:t>
            </w:r>
          </w:p>
        </w:tc>
        <w:tc>
          <w:tcPr>
            <w:tcW w:type="dxa" w:w="24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-0.663</w:t>
            </w:r>
          </w:p>
        </w:tc>
      </w:tr>
      <w:tr>
        <w:tc>
          <w:tcPr>
            <w:tcW w:type="dxa" w:w="34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2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прагматизм</w:t>
            </w:r>
          </w:p>
        </w:tc>
        <w:tc>
          <w:tcPr>
            <w:tcW w:type="dxa" w:w="24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-0.604</w:t>
            </w:r>
          </w:p>
        </w:tc>
      </w:tr>
      <w:tr>
        <w:tc>
          <w:tcPr>
            <w:tcW w:type="dxa" w:w="34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2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проевропейская</w:t>
            </w:r>
          </w:p>
        </w:tc>
        <w:tc>
          <w:tcPr>
            <w:tcW w:type="dxa" w:w="24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-0.462</w:t>
            </w:r>
          </w:p>
        </w:tc>
      </w:tr>
      <w:tr>
        <w:tc>
          <w:tcPr>
            <w:tcW w:type="dxa" w:w="34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2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европеизм</w:t>
            </w:r>
          </w:p>
        </w:tc>
        <w:tc>
          <w:tcPr>
            <w:tcW w:type="dxa" w:w="24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-0.435</w:t>
            </w:r>
          </w:p>
        </w:tc>
      </w:tr>
      <w:tr>
        <w:tc>
          <w:tcPr>
            <w:tcW w:type="dxa" w:w="34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2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интернационализм</w:t>
            </w:r>
          </w:p>
        </w:tc>
        <w:tc>
          <w:tcPr>
            <w:tcW w:type="dxa" w:w="24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-0.384</w:t>
            </w:r>
          </w:p>
        </w:tc>
      </w:tr>
      <w:tr>
        <w:tc>
          <w:tcPr>
            <w:tcW w:type="dxa" w:w="34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42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антидискриминация</w:t>
            </w:r>
          </w:p>
        </w:tc>
        <w:tc>
          <w:tcPr>
            <w:tcW w:type="dxa" w:w="24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-0.354</w:t>
            </w:r>
          </w:p>
        </w:tc>
      </w:tr>
    </w:tbl>
    <w:p>
      <w:pPr>
        <w:spacing w:after="80"/>
      </w:pPr>
    </w:p>
    <w:p>
      <w:pPr>
        <w:pStyle w:val="Heading2"/>
      </w:pPr>
      <w:r>
        <w:t>F4 ориентирована на рабочий класс сильные профсоюзы</w:t>
      </w:r>
    </w:p>
    <w:p>
      <w:r>
        <w:t>Положительные нагрузки: ориентирована на рабочий класс, сильные профсоюзы, социал-демократическая. Сильных отрицательных нагрузок нет; второй полюс отдельно не именуется. Высокая координата связана со свойствами: ориентирована на рабочий класс, сильные профсоюзы, социал-демократическая. Знак оси условен. Названия описывают связи оценок; это не причинное объяснение.</w:t>
      </w:r>
    </w:p>
    <w:tbl>
      <w:tblPr>
        <w:tblW w:type="auto" w:w="0"/>
        <w:tblLayout w:type="fixed"/>
        <w:tblLook w:firstColumn="1" w:firstRow="1" w:lastColumn="0" w:lastRow="0" w:noHBand="0" w:noVBand="1" w:val="04A0"/>
      </w:tblPr>
      <w:tblGrid>
        <w:gridCol w:w="2920"/>
        <w:gridCol w:w="5029"/>
        <w:gridCol w:w="2130"/>
      </w:tblGrid>
      <w:tr>
        <w:trPr>
          <w:tblHeader/>
        </w:trPr>
        <w:tc>
          <w:tcPr>
            <w:tcW w:type="dxa" w:w="2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02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213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ориентирована на рабочий класс</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+0.780</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сильные профсоюзы</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+0.702</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социал-демократическая</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+0.639</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поддержка государства всеобщего благосостояния</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+0.561</w:t>
            </w:r>
          </w:p>
        </w:tc>
      </w:tr>
      <w:tr>
        <w:tc>
          <w:tcPr>
            <w:tcW w:type="dxa" w:w="2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солидарность</w:t>
            </w:r>
          </w:p>
        </w:tc>
        <w:tc>
          <w:tcPr>
            <w:tcW w:type="dxa" w:w="213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+0.444</w:t>
            </w:r>
          </w:p>
        </w:tc>
      </w:tr>
      <w:tr>
        <w:tc>
          <w:tcPr>
            <w:tcW w:type="dxa" w:w="2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0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центр-левая</w:t>
            </w:r>
          </w:p>
        </w:tc>
        <w:tc>
          <w:tcPr>
            <w:tcW w:type="dxa" w:w="213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+0.437</w:t>
            </w:r>
          </w:p>
        </w:tc>
      </w:tr>
    </w:tbl>
    <w:p>
      <w:pPr>
        <w:spacing w:after="80"/>
      </w:pPr>
    </w:p>
    <w:p>
      <w:pPr>
        <w:pStyle w:val="Heading1"/>
      </w:pPr>
      <w:r>
        <w:t>Карты объектов и признаков</w:t>
      </w:r>
    </w:p>
    <w:p>
      <w:pPr>
        <w:pStyle w:val="Heading2"/>
      </w:pPr>
      <w:r>
        <w:t>Объекты в факторных координатах</w:t>
      </w:r>
    </w:p>
    <w:p>
      <w:pPr>
        <w:keepNext/>
        <w:jc w:val="center"/>
      </w:pPr>
      <w:r>
        <w:drawing>
          <wp:inline xmlns:a="http://schemas.openxmlformats.org/drawingml/2006/main" xmlns:pic="http://schemas.openxmlformats.org/drawingml/2006/picture">
            <wp:extent cx="6400800" cy="4293733"/>
            <wp:docPr id="2" name="Picture 2"/>
            <wp:cNvGraphicFramePr>
              <a:graphicFrameLocks noChangeAspect="1"/>
            </wp:cNvGraphicFramePr>
            <a:graphic>
              <a:graphicData uri="http://schemas.openxmlformats.org/drawingml/2006/picture">
                <pic:pic>
                  <pic:nvPicPr>
                    <pic:cNvPr id="0" name="objects_f1_f2.png"/>
                    <pic:cNvPicPr/>
                  </pic:nvPicPr>
                  <pic:blipFill>
                    <a:blip r:embed="rId10"/>
                    <a:stretch>
                      <a:fillRect/>
                    </a:stretch>
                  </pic:blipFill>
                  <pic:spPr>
                    <a:xfrm>
                      <a:off x="0" y="0"/>
                      <a:ext cx="6400800" cy="4293733"/>
                    </a:xfrm>
                    <a:prstGeom prst="rect"/>
                  </pic:spPr>
                </pic:pic>
              </a:graphicData>
            </a:graphic>
          </wp:inline>
        </w:drawing>
      </w:r>
    </w:p>
    <w:p>
      <w:pPr>
        <w:pStyle w:val="Caption"/>
      </w:pPr>
      <w:r>
        <w:t>Точки — posterior scores объектов по F1/F2. Группы рассчитаны во всех выбранных факторах; двухмерная проекция может скрывать различия.</w:t>
      </w:r>
    </w:p>
    <w:p>
      <w:pPr>
        <w:pStyle w:val="Heading2"/>
      </w:pPr>
      <w:r>
        <w:t>Семантические шкалы нагрузки F1 F2</w:t>
      </w:r>
    </w:p>
    <w:p>
      <w:pPr>
        <w:keepNext/>
        <w:jc w:val="center"/>
      </w:pPr>
      <w:r>
        <w:drawing>
          <wp:inline xmlns:a="http://schemas.openxmlformats.org/drawingml/2006/main" xmlns:pic="http://schemas.openxmlformats.org/drawingml/2006/picture">
            <wp:extent cx="6400800" cy="4293733"/>
            <wp:docPr id="3" name="Picture 3"/>
            <wp:cNvGraphicFramePr>
              <a:graphicFrameLocks noChangeAspect="1"/>
            </wp:cNvGraphicFramePr>
            <a:graphic>
              <a:graphicData uri="http://schemas.openxmlformats.org/drawingml/2006/picture">
                <pic:pic>
                  <pic:nvPicPr>
                    <pic:cNvPr id="0" name="traits_f1_f2.png"/>
                    <pic:cNvPicPr/>
                  </pic:nvPicPr>
                  <pic:blipFill>
                    <a:blip r:embed="rId11"/>
                    <a:stretch>
                      <a:fillRect/>
                    </a:stretch>
                  </pic:blipFill>
                  <pic:spPr>
                    <a:xfrm>
                      <a:off x="0" y="0"/>
                      <a:ext cx="6400800" cy="4293733"/>
                    </a:xfrm>
                    <a:prstGeom prst="rect"/>
                  </pic:spPr>
                </pic:pic>
              </a:graphicData>
            </a:graphic>
          </wp:inline>
        </w:drawing>
      </w:r>
    </w:p>
    <w:p>
      <w:pPr>
        <w:pStyle w:val="Caption"/>
      </w:pPr>
      <w:r>
        <w:t>Точки — шкалы, координаты — их факторные нагрузки. Эти точки отличаются от координат объектов; единицы и геометрия не взаимозаменяемы.</w:t>
      </w:r>
    </w:p>
    <w:p>
      <w:pPr>
        <w:pStyle w:val="Heading2"/>
      </w:pPr>
      <w:r>
        <w:t>Профили объектов</w:t>
      </w:r>
    </w:p>
    <w:p>
      <w:pPr>
        <w:keepNext/>
        <w:jc w:val="center"/>
      </w:pPr>
      <w:r>
        <w:drawing>
          <wp:inline xmlns:a="http://schemas.openxmlformats.org/drawingml/2006/main" xmlns:pic="http://schemas.openxmlformats.org/drawingml/2006/picture">
            <wp:extent cx="3781162" cy="6126480"/>
            <wp:docPr id="4" name="Picture 4"/>
            <wp:cNvGraphicFramePr>
              <a:graphicFrameLocks noChangeAspect="1"/>
            </wp:cNvGraphicFramePr>
            <a:graphic>
              <a:graphicData uri="http://schemas.openxmlformats.org/drawingml/2006/picture">
                <pic:pic>
                  <pic:nvPicPr>
                    <pic:cNvPr id="0" name="heatmap.png"/>
                    <pic:cNvPicPr/>
                  </pic:nvPicPr>
                  <pic:blipFill>
                    <a:blip r:embed="rId12"/>
                    <a:stretch>
                      <a:fillRect/>
                    </a:stretch>
                  </pic:blipFill>
                  <pic:spPr>
                    <a:xfrm>
                      <a:off x="0" y="0"/>
                      <a:ext cx="3781162" cy="6126480"/>
                    </a:xfrm>
                    <a:prstGeom prst="rect"/>
                  </pic:spPr>
                </pic:pic>
              </a:graphicData>
            </a:graphic>
          </wp:inline>
        </w:drawing>
      </w:r>
    </w:p>
    <w:p>
      <w:pPr>
        <w:pStyle w:val="Caption"/>
      </w:pPr>
      <w:r>
        <w:t>Объекты упорядочены по группам; цвет показывает оценённую факторную координату. Подписи строк прорежены для читаемости.</w:t>
      </w:r>
    </w:p>
    <w:p>
      <w:pPr>
        <w:pStyle w:val="Heading2"/>
      </w:pPr>
      <w:r>
        <w:t>Профили групп</w:t>
      </w:r>
    </w:p>
    <w:p>
      <w:pPr>
        <w:keepNext/>
        <w:jc w:val="center"/>
      </w:pPr>
      <w:r>
        <w:drawing>
          <wp:inline xmlns:a="http://schemas.openxmlformats.org/drawingml/2006/main" xmlns:pic="http://schemas.openxmlformats.org/drawingml/2006/picture">
            <wp:extent cx="6400800" cy="3591377"/>
            <wp:docPr id="5" name="Picture 5"/>
            <wp:cNvGraphicFramePr>
              <a:graphicFrameLocks noChangeAspect="1"/>
            </wp:cNvGraphicFramePr>
            <a:graphic>
              <a:graphicData uri="http://schemas.openxmlformats.org/drawingml/2006/picture">
                <pic:pic>
                  <pic:nvPicPr>
                    <pic:cNvPr id="0" name="cluster_profile.png"/>
                    <pic:cNvPicPr/>
                  </pic:nvPicPr>
                  <pic:blipFill>
                    <a:blip r:embed="rId13"/>
                    <a:stretch>
                      <a:fillRect/>
                    </a:stretch>
                  </pic:blipFill>
                  <pic:spPr>
                    <a:xfrm>
                      <a:off x="0" y="0"/>
                      <a:ext cx="6400800" cy="3591377"/>
                    </a:xfrm>
                    <a:prstGeom prst="rect"/>
                  </pic:spPr>
                </pic:pic>
              </a:graphicData>
            </a:graphic>
          </wp:inline>
        </w:drawing>
      </w:r>
    </w:p>
    <w:p>
      <w:pPr>
        <w:pStyle w:val="Caption"/>
      </w:pPr>
      <w:r>
        <w:t>Центры групп в исходном выбранном факторном пространстве. Отдельная стандартизация факторных осей не применялась.</w:t>
      </w:r>
    </w:p>
    <w:p>
      <w:pPr>
        <w:pStyle w:val="Heading2"/>
      </w:pPr>
      <w:r>
        <w:t>t SNE объектов</w:t>
      </w:r>
    </w:p>
    <w:p>
      <w:pPr>
        <w:keepNext/>
        <w:jc w:val="center"/>
      </w:pPr>
      <w:r>
        <w:drawing>
          <wp:inline xmlns:a="http://schemas.openxmlformats.org/drawingml/2006/main" xmlns:pic="http://schemas.openxmlformats.org/drawingml/2006/picture">
            <wp:extent cx="6400800" cy="4293733"/>
            <wp:docPr id="6" name="Picture 6"/>
            <wp:cNvGraphicFramePr>
              <a:graphicFrameLocks noChangeAspect="1"/>
            </wp:cNvGraphicFramePr>
            <a:graphic>
              <a:graphicData uri="http://schemas.openxmlformats.org/drawingml/2006/picture">
                <pic:pic>
                  <pic:nvPicPr>
                    <pic:cNvPr id="0" name="tsne_objects.png"/>
                    <pic:cNvPicPr/>
                  </pic:nvPicPr>
                  <pic:blipFill>
                    <a:blip r:embed="rId14"/>
                    <a:stretch>
                      <a:fillRect/>
                    </a:stretch>
                  </pic:blipFill>
                  <pic:spPr>
                    <a:xfrm>
                      <a:off x="0" y="0"/>
                      <a:ext cx="6400800" cy="4293733"/>
                    </a:xfrm>
                    <a:prstGeom prst="rect"/>
                  </pic:spPr>
                </pic:pic>
              </a:graphicData>
            </a:graphic>
          </wp:inline>
        </w:drawing>
      </w:r>
    </w:p>
    <w:p>
      <w:pPr>
        <w:pStyle w:val="Caption"/>
      </w:pPr>
      <w:r>
        <w:t>t-SNE строится по всем выбранным факторным координатам. Его оси не являются факторами; глобальные расстояния и видимые пустоты нельзя трактовать как свойства пространства.</w:t>
      </w:r>
    </w:p>
    <w:p>
      <w:pPr>
        <w:pStyle w:val="Heading2"/>
      </w:pPr>
      <w:r>
        <w:t>t SNE семантических шкал</w:t>
      </w:r>
    </w:p>
    <w:p>
      <w:pPr>
        <w:keepNext/>
        <w:jc w:val="center"/>
      </w:pPr>
      <w:r>
        <w:drawing>
          <wp:inline xmlns:a="http://schemas.openxmlformats.org/drawingml/2006/main" xmlns:pic="http://schemas.openxmlformats.org/drawingml/2006/picture">
            <wp:extent cx="6400800" cy="4293733"/>
            <wp:docPr id="7" name="Picture 7"/>
            <wp:cNvGraphicFramePr>
              <a:graphicFrameLocks noChangeAspect="1"/>
            </wp:cNvGraphicFramePr>
            <a:graphic>
              <a:graphicData uri="http://schemas.openxmlformats.org/drawingml/2006/picture">
                <pic:pic>
                  <pic:nvPicPr>
                    <pic:cNvPr id="0" name="tsne_traits.png"/>
                    <pic:cNvPicPr/>
                  </pic:nvPicPr>
                  <pic:blipFill>
                    <a:blip r:embed="rId15"/>
                    <a:stretch>
                      <a:fillRect/>
                    </a:stretch>
                  </pic:blipFill>
                  <pic:spPr>
                    <a:xfrm>
                      <a:off x="0" y="0"/>
                      <a:ext cx="6400800" cy="4293733"/>
                    </a:xfrm>
                    <a:prstGeom prst="rect"/>
                  </pic:spPr>
                </pic:pic>
              </a:graphicData>
            </a:graphic>
          </wp:inline>
        </w:drawing>
      </w:r>
    </w:p>
    <w:p>
      <w:pPr>
        <w:pStyle w:val="Caption"/>
      </w:pPr>
      <w:r>
        <w:t>t-SNE строится по векторам нагрузок шкал на все выбранные факторы. Оси t-SNE не имеют самостоятельной семантической интерпретации.</w:t>
      </w:r>
    </w:p>
    <w:p>
      <w:pPr>
        <w:pStyle w:val="Heading1"/>
      </w:pPr>
      <w:r>
        <w:t>Сравнение кластерных решений</w:t>
      </w:r>
    </w:p>
    <w:tbl>
      <w:tblPr>
        <w:tblW w:type="auto" w:w="0"/>
        <w:tblLayout w:type="fixed"/>
        <w:tblLook w:firstColumn="1" w:firstRow="1" w:lastColumn="0" w:lastRow="0" w:noHBand="0" w:noVBand="1" w:val="04A0"/>
      </w:tblPr>
      <w:tblGrid>
        <w:gridCol w:w="1681"/>
        <w:gridCol w:w="1681"/>
        <w:gridCol w:w="3300"/>
        <w:gridCol w:w="3418"/>
      </w:tblGrid>
      <w:tr>
        <w:trPr>
          <w:tblHeader/>
        </w:trPr>
        <w:tc>
          <w:tcPr>
            <w:tcW w:type="dxa" w:w="168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168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Силуэт</w:t>
            </w:r>
          </w:p>
        </w:tc>
        <w:tc>
          <w:tcPr>
            <w:tcW w:type="dxa" w:w="330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Минимальная группа</w:t>
            </w:r>
          </w:p>
        </w:tc>
        <w:tc>
          <w:tcPr>
            <w:tcW w:type="dxa" w:w="341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Максимальная группа</w:t>
            </w:r>
          </w:p>
        </w:tc>
      </w:tr>
      <w:tr>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0.251</w:t>
            </w:r>
          </w:p>
        </w:tc>
        <w:tc>
          <w:tcPr>
            <w:tcW w:type="dxa" w:w="33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44</w:t>
            </w:r>
          </w:p>
        </w:tc>
        <w:tc>
          <w:tcPr>
            <w:tcW w:type="dxa" w:w="34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51</w:t>
            </w:r>
          </w:p>
        </w:tc>
      </w:tr>
      <w:tr>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0.326</w:t>
            </w:r>
          </w:p>
        </w:tc>
        <w:tc>
          <w:tcPr>
            <w:tcW w:type="dxa" w:w="33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25</w:t>
            </w:r>
          </w:p>
        </w:tc>
        <w:tc>
          <w:tcPr>
            <w:tcW w:type="dxa" w:w="34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41</w:t>
            </w:r>
          </w:p>
        </w:tc>
      </w:tr>
      <w:tr>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0.393</w:t>
            </w:r>
          </w:p>
        </w:tc>
        <w:tc>
          <w:tcPr>
            <w:tcW w:type="dxa" w:w="33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22</w:t>
            </w:r>
          </w:p>
        </w:tc>
        <w:tc>
          <w:tcPr>
            <w:tcW w:type="dxa" w:w="34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26</w:t>
            </w:r>
          </w:p>
        </w:tc>
      </w:tr>
      <w:tr>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0.429</w:t>
            </w:r>
          </w:p>
        </w:tc>
        <w:tc>
          <w:tcPr>
            <w:tcW w:type="dxa" w:w="33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w:t>
            </w:r>
          </w:p>
        </w:tc>
        <w:tc>
          <w:tcPr>
            <w:tcW w:type="dxa" w:w="34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23</w:t>
            </w:r>
          </w:p>
        </w:tc>
      </w:tr>
      <w:tr>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0.435</w:t>
            </w:r>
          </w:p>
        </w:tc>
        <w:tc>
          <w:tcPr>
            <w:tcW w:type="dxa" w:w="33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34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w:t>
            </w:r>
          </w:p>
        </w:tc>
      </w:tr>
      <w:tr>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0.415</w:t>
            </w:r>
          </w:p>
        </w:tc>
        <w:tc>
          <w:tcPr>
            <w:tcW w:type="dxa" w:w="33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34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19</w:t>
            </w:r>
          </w:p>
        </w:tc>
      </w:tr>
      <w:tr>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0.417</w:t>
            </w:r>
          </w:p>
        </w:tc>
        <w:tc>
          <w:tcPr>
            <w:tcW w:type="dxa" w:w="33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34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w:t>
            </w:r>
          </w:p>
        </w:tc>
      </w:tr>
      <w:tr>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168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0.407</w:t>
            </w:r>
          </w:p>
        </w:tc>
        <w:tc>
          <w:tcPr>
            <w:tcW w:type="dxa" w:w="330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34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w:t>
            </w:r>
          </w:p>
        </w:tc>
      </w:tr>
      <w:tr>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68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0.415</w:t>
            </w:r>
          </w:p>
        </w:tc>
        <w:tc>
          <w:tcPr>
            <w:tcW w:type="dxa" w:w="33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34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14</w:t>
            </w:r>
          </w:p>
        </w:tc>
      </w:tr>
    </w:tbl>
    <w:p>
      <w:pPr>
        <w:spacing w:after="80"/>
      </w:pPr>
    </w:p>
    <w:p>
      <w:r>
        <w:t>Выбранное k рассматривается как рабочая типология и сопоставляется с альтернативами.</w:t>
      </w:r>
    </w:p>
    <w:p>
      <w:pPr>
        <w:pStyle w:val="Heading1"/>
      </w:pPr>
      <w:r>
        <w:t>Интерпретация групп</w:t>
      </w:r>
    </w:p>
    <w:p>
      <w:pPr>
        <w:pStyle w:val="Heading2"/>
      </w:pPr>
      <w:r>
        <w:t>C1 Группа 1</w:t>
      </w:r>
    </w:p>
    <w:p>
      <w:r>
        <w:t>Размер: 23 объектов (24.2% выборки). Отличия от среднего по изученным объектам: «ориентирована на рабочий класс» (+1.57 σ), «сильные профсоюзы» (+1.48 σ), «социал-демократическая» (+1.41 σ). Общность описывается сочетанием оценённых свойств; совпадение электората или причин общности требует внешней проверки.</w:t>
      </w:r>
    </w:p>
    <w:p>
      <w:r>
        <w:t>Состав: Socialdemokraterna, Vänsterpartiet, Arbeiderpartiet, Sosialistisk Venstreparti, Socialdemokratiet, SF – Socialistisk Folkeparti, Enhedslisten, Suomen Sosialidemokraattinen Puolue, Sozialdemokratische Partei Deutschlands, Die Linke, Partij van de Arbeid, Bloc Québécois, New Democratic Party, Australian Labor Party, New Zealand Labour Party, Alliance, Parti Socialiste, Sozialdemokratische Partei Österreichs, Sinn Féin, Labour Party, Scottish National Party, Коммунистическая партия Российской Федерации, Справедливая Россия</w:t>
      </w:r>
    </w:p>
    <w:p>
      <w:r>
        <w:t>Ближайшие к центру представители: Parti Socialiste, New Democratic Party, Labour Party</w:t>
      </w:r>
    </w:p>
    <w:tbl>
      <w:tblPr>
        <w:tblW w:type="auto" w:w="0"/>
        <w:tblLayout w:type="fixed"/>
        <w:tblLook w:firstColumn="1" w:firstRow="1" w:lastColumn="0" w:lastRow="0" w:noHBand="0" w:noVBand="1" w:val="04A0"/>
      </w:tblPr>
      <w:tblGrid>
        <w:gridCol w:w="3603"/>
        <w:gridCol w:w="2195"/>
        <w:gridCol w:w="2296"/>
        <w:gridCol w:w="1986"/>
      </w:tblGrid>
      <w:tr>
        <w:trPr>
          <w:tblHeader/>
        </w:trPr>
        <w:tc>
          <w:tcPr>
            <w:tcW w:type="dxa" w:w="36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219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29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98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36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ориентирована на рабочий класс</w:t>
            </w:r>
          </w:p>
        </w:tc>
        <w:tc>
          <w:tcPr>
            <w:tcW w:type="dxa" w:w="21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+3.00</w:t>
            </w:r>
          </w:p>
        </w:tc>
        <w:tc>
          <w:tcPr>
            <w:tcW w:type="dxa" w:w="229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-0.59</w:t>
            </w:r>
          </w:p>
        </w:tc>
        <w:tc>
          <w:tcPr>
            <w:tcW w:type="dxa" w:w="19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+1.57</w:t>
            </w:r>
          </w:p>
        </w:tc>
      </w:tr>
      <w:tr>
        <w:tc>
          <w:tcPr>
            <w:tcW w:type="dxa" w:w="36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сильные профсоюзы</w:t>
            </w:r>
          </w:p>
        </w:tc>
        <w:tc>
          <w:tcPr>
            <w:tcW w:type="dxa" w:w="21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+2.61</w:t>
            </w:r>
          </w:p>
        </w:tc>
        <w:tc>
          <w:tcPr>
            <w:tcW w:type="dxa" w:w="229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-1.11</w:t>
            </w:r>
          </w:p>
        </w:tc>
        <w:tc>
          <w:tcPr>
            <w:tcW w:type="dxa" w:w="19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+1.48</w:t>
            </w:r>
          </w:p>
        </w:tc>
      </w:tr>
      <w:tr>
        <w:tc>
          <w:tcPr>
            <w:tcW w:type="dxa" w:w="36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социал-демократическая</w:t>
            </w:r>
          </w:p>
        </w:tc>
        <w:tc>
          <w:tcPr>
            <w:tcW w:type="dxa" w:w="21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+3.35</w:t>
            </w:r>
          </w:p>
        </w:tc>
        <w:tc>
          <w:tcPr>
            <w:tcW w:type="dxa" w:w="229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-1.05</w:t>
            </w:r>
          </w:p>
        </w:tc>
        <w:tc>
          <w:tcPr>
            <w:tcW w:type="dxa" w:w="19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+1.41</w:t>
            </w:r>
          </w:p>
        </w:tc>
      </w:tr>
      <w:tr>
        <w:tc>
          <w:tcPr>
            <w:tcW w:type="dxa" w:w="36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поддержка государства всеобщего благосостояния</w:t>
            </w:r>
          </w:p>
        </w:tc>
        <w:tc>
          <w:tcPr>
            <w:tcW w:type="dxa" w:w="21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+4.39</w:t>
            </w:r>
          </w:p>
        </w:tc>
        <w:tc>
          <w:tcPr>
            <w:tcW w:type="dxa" w:w="229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+1.02</w:t>
            </w:r>
          </w:p>
        </w:tc>
        <w:tc>
          <w:tcPr>
            <w:tcW w:type="dxa" w:w="19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+1.24</w:t>
            </w:r>
          </w:p>
        </w:tc>
      </w:tr>
      <w:tr>
        <w:tc>
          <w:tcPr>
            <w:tcW w:type="dxa" w:w="36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солидарность</w:t>
            </w:r>
          </w:p>
        </w:tc>
        <w:tc>
          <w:tcPr>
            <w:tcW w:type="dxa" w:w="21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+3.57</w:t>
            </w:r>
          </w:p>
        </w:tc>
        <w:tc>
          <w:tcPr>
            <w:tcW w:type="dxa" w:w="229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+0.89</w:t>
            </w:r>
          </w:p>
        </w:tc>
        <w:tc>
          <w:tcPr>
            <w:tcW w:type="dxa" w:w="19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+1.18</w:t>
            </w:r>
          </w:p>
        </w:tc>
      </w:tr>
      <w:tr>
        <w:tc>
          <w:tcPr>
            <w:tcW w:type="dxa" w:w="36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центр-левая</w:t>
            </w:r>
          </w:p>
        </w:tc>
        <w:tc>
          <w:tcPr>
            <w:tcW w:type="dxa" w:w="21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+3.48</w:t>
            </w:r>
          </w:p>
        </w:tc>
        <w:tc>
          <w:tcPr>
            <w:tcW w:type="dxa" w:w="229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-0.23</w:t>
            </w:r>
          </w:p>
        </w:tc>
        <w:tc>
          <w:tcPr>
            <w:tcW w:type="dxa" w:w="19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+1.13</w:t>
            </w:r>
          </w:p>
        </w:tc>
      </w:tr>
    </w:tbl>
    <w:p>
      <w:pPr>
        <w:spacing w:after="80"/>
      </w:pPr>
    </w:p>
    <w:p>
      <w:pPr>
        <w:pStyle w:val="Heading2"/>
      </w:pPr>
      <w:r>
        <w:t>C2 Группа 2</w:t>
      </w:r>
    </w:p>
    <w:p>
      <w:r>
        <w:t>Размер: 18 объектов (18.9% выборки). Отличия от среднего по изученным объектам: «либерально-консервативная» (+1.08 σ), «правоцентристская» (+0.98 σ), «консервативная» (+0.95 σ). Общность описывается сочетанием оценённых свойств; совпадение электората или причин общности требует внешней проверки.</w:t>
      </w:r>
    </w:p>
    <w:p>
      <w:r>
        <w:t>Состав: Moderata samlingspartiet, Kristdemokraterna, Suomen Keskusta, Christlich Demokratische Union Deutschlands, Christen-Democratisch Appèl, BoerBurgerBeweging, Progressive Conservative Party of Canada, Liberal Party of Australia, New Zealand National Party, Sjálfstæðisflokkurinn, Framsóknarflokkurinn, Christelijke Volkspartij, Parti Social Chrétien, Österreichische Volkspartei, Fianna Fáil, Fine Gael, Conservative Party, Единая Россия</w:t>
      </w:r>
    </w:p>
    <w:p>
      <w:r>
        <w:t>Ближайшие к центру представители: Suomen Keskusta, Fianna Fáil, Österreichische Volkspartei</w:t>
      </w:r>
    </w:p>
    <w:tbl>
      <w:tblPr>
        <w:tblW w:type="auto" w:w="0"/>
        <w:tblLayout w:type="fixed"/>
        <w:tblLook w:firstColumn="1" w:firstRow="1" w:lastColumn="0" w:lastRow="0" w:noHBand="0" w:noVBand="1" w:val="04A0"/>
      </w:tblPr>
      <w:tblGrid>
        <w:gridCol w:w="3333"/>
        <w:gridCol w:w="2287"/>
        <w:gridCol w:w="2391"/>
        <w:gridCol w:w="2069"/>
      </w:tblGrid>
      <w:tr>
        <w:trPr>
          <w:tblHeader/>
        </w:trPr>
        <w:tc>
          <w:tcPr>
            <w:tcW w:type="dxa" w:w="333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228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39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206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333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либерально-консервативная</w:t>
            </w:r>
          </w:p>
        </w:tc>
        <w:tc>
          <w:tcPr>
            <w:tcW w:type="dxa" w:w="228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+2.33</w:t>
            </w:r>
          </w:p>
        </w:tc>
        <w:tc>
          <w:tcPr>
            <w:tcW w:type="dxa" w:w="2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-0.91</w:t>
            </w:r>
          </w:p>
        </w:tc>
        <w:tc>
          <w:tcPr>
            <w:tcW w:type="dxa" w:w="20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+1.08</w:t>
            </w:r>
          </w:p>
        </w:tc>
      </w:tr>
      <w:tr>
        <w:tc>
          <w:tcPr>
            <w:tcW w:type="dxa" w:w="333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правоцентристская</w:t>
            </w:r>
          </w:p>
        </w:tc>
        <w:tc>
          <w:tcPr>
            <w:tcW w:type="dxa" w:w="228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+2.89</w:t>
            </w:r>
          </w:p>
        </w:tc>
        <w:tc>
          <w:tcPr>
            <w:tcW w:type="dxa" w:w="2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-0.09</w:t>
            </w:r>
          </w:p>
        </w:tc>
        <w:tc>
          <w:tcPr>
            <w:tcW w:type="dxa" w:w="20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+0.98</w:t>
            </w:r>
          </w:p>
        </w:tc>
      </w:tr>
      <w:tr>
        <w:tc>
          <w:tcPr>
            <w:tcW w:type="dxa" w:w="333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консервативная</w:t>
            </w:r>
          </w:p>
        </w:tc>
        <w:tc>
          <w:tcPr>
            <w:tcW w:type="dxa" w:w="228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+2.00</w:t>
            </w:r>
          </w:p>
        </w:tc>
        <w:tc>
          <w:tcPr>
            <w:tcW w:type="dxa" w:w="2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-0.61</w:t>
            </w:r>
          </w:p>
        </w:tc>
        <w:tc>
          <w:tcPr>
            <w:tcW w:type="dxa" w:w="20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+0.95</w:t>
            </w:r>
          </w:p>
        </w:tc>
      </w:tr>
      <w:tr>
        <w:tc>
          <w:tcPr>
            <w:tcW w:type="dxa" w:w="333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традиционные семейные ценности</w:t>
            </w:r>
          </w:p>
        </w:tc>
        <w:tc>
          <w:tcPr>
            <w:tcW w:type="dxa" w:w="228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+2.22</w:t>
            </w:r>
          </w:p>
        </w:tc>
        <w:tc>
          <w:tcPr>
            <w:tcW w:type="dxa" w:w="2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-0.34</w:t>
            </w:r>
          </w:p>
        </w:tc>
        <w:tc>
          <w:tcPr>
            <w:tcW w:type="dxa" w:w="20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+0.94</w:t>
            </w:r>
          </w:p>
        </w:tc>
      </w:tr>
      <w:tr>
        <w:tc>
          <w:tcPr>
            <w:tcW w:type="dxa" w:w="333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рациональный прагматизм</w:t>
            </w:r>
          </w:p>
        </w:tc>
        <w:tc>
          <w:tcPr>
            <w:tcW w:type="dxa" w:w="228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+2.61</w:t>
            </w:r>
          </w:p>
        </w:tc>
        <w:tc>
          <w:tcPr>
            <w:tcW w:type="dxa" w:w="2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+1.29</w:t>
            </w:r>
          </w:p>
        </w:tc>
        <w:tc>
          <w:tcPr>
            <w:tcW w:type="dxa" w:w="20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+0.92</w:t>
            </w:r>
          </w:p>
        </w:tc>
      </w:tr>
      <w:tr>
        <w:tc>
          <w:tcPr>
            <w:tcW w:type="dxa" w:w="333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бизнес</w:t>
            </w:r>
          </w:p>
        </w:tc>
        <w:tc>
          <w:tcPr>
            <w:tcW w:type="dxa" w:w="228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+2.17</w:t>
            </w:r>
          </w:p>
        </w:tc>
        <w:tc>
          <w:tcPr>
            <w:tcW w:type="dxa" w:w="2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+0.13</w:t>
            </w:r>
          </w:p>
        </w:tc>
        <w:tc>
          <w:tcPr>
            <w:tcW w:type="dxa" w:w="20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+0.86</w:t>
            </w:r>
          </w:p>
        </w:tc>
      </w:tr>
    </w:tbl>
    <w:p>
      <w:pPr>
        <w:spacing w:after="80"/>
      </w:pPr>
    </w:p>
    <w:p>
      <w:pPr>
        <w:pStyle w:val="Heading2"/>
      </w:pPr>
      <w:r>
        <w:t>C3 Группа 3</w:t>
      </w:r>
    </w:p>
    <w:p>
      <w:r>
        <w:t>Размер: 23 объектов (24.2% выборки). Отличия от среднего по изученным объектам: «антииммиграционная» (+1.62 σ), «правопопулистская» (+1.61 σ), «критика мультикультурализма» (+1.57 σ). Общность описывается сочетанием оценённых свойств; совпадение электората или причин общности требует внешней проверки.</w:t>
      </w:r>
    </w:p>
    <w:p>
      <w:r>
        <w:t>Состав: Sverigedemokraterna, Ny demokrati, Fremskrittspartiet, Fremskridtspartiet, Dansk Folkeparti, Nye Borgerlige, Perussuomalaiset, Alternative für Deutschland, Partij voor de Vrijheid, Forum voor Democratie, Lijst Pim Fortuyn, Schweizerische Volkspartei, Reform Party of Canada, Pauline Hanson's One Nation, Palmer United Party, New Zealand First, Vlaams Blok, Nieuw-Vlaamse Alliantie, Freiheitliche Partei Österreichs, Team Stronach für Österreich, UK Independence Party, Либерально-демократическая партия России, Родина (российская политическая партия)</w:t>
      </w:r>
    </w:p>
    <w:p>
      <w:r>
        <w:t>Ближайшие к центру представители: Alternative für Deutschland, Forum voor Democratie, Nye Borgerlige</w:t>
      </w:r>
    </w:p>
    <w:tbl>
      <w:tblPr>
        <w:tblW w:type="auto" w:w="0"/>
        <w:tblLayout w:type="fixed"/>
        <w:tblLook w:firstColumn="1" w:firstRow="1" w:lastColumn="0" w:lastRow="0" w:noHBand="0" w:noVBand="1" w:val="04A0"/>
      </w:tblPr>
      <w:tblGrid>
        <w:gridCol w:w="2948"/>
        <w:gridCol w:w="2417"/>
        <w:gridCol w:w="2528"/>
        <w:gridCol w:w="2187"/>
      </w:tblGrid>
      <w:tr>
        <w:trPr>
          <w:tblHeader/>
        </w:trPr>
        <w:tc>
          <w:tcPr>
            <w:tcW w:type="dxa" w:w="29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24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52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218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29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антииммиграционная</w:t>
            </w:r>
          </w:p>
        </w:tc>
        <w:tc>
          <w:tcPr>
            <w:tcW w:type="dxa" w:w="24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+3.17</w:t>
            </w:r>
          </w:p>
        </w:tc>
        <w:tc>
          <w:tcPr>
            <w:tcW w:type="dxa" w:w="25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-1.86</w:t>
            </w:r>
          </w:p>
        </w:tc>
        <w:tc>
          <w:tcPr>
            <w:tcW w:type="dxa" w:w="218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+1.62</w:t>
            </w:r>
          </w:p>
        </w:tc>
      </w:tr>
      <w:tr>
        <w:tc>
          <w:tcPr>
            <w:tcW w:type="dxa" w:w="29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правопопулистская</w:t>
            </w:r>
          </w:p>
        </w:tc>
        <w:tc>
          <w:tcPr>
            <w:tcW w:type="dxa" w:w="24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+3.26</w:t>
            </w:r>
          </w:p>
        </w:tc>
        <w:tc>
          <w:tcPr>
            <w:tcW w:type="dxa" w:w="252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-1.83</w:t>
            </w:r>
          </w:p>
        </w:tc>
        <w:tc>
          <w:tcPr>
            <w:tcW w:type="dxa" w:w="218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+1.61</w:t>
            </w:r>
          </w:p>
        </w:tc>
      </w:tr>
      <w:tr>
        <w:tc>
          <w:tcPr>
            <w:tcW w:type="dxa" w:w="29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мультикультурализма</w:t>
            </w:r>
          </w:p>
        </w:tc>
        <w:tc>
          <w:tcPr>
            <w:tcW w:type="dxa" w:w="24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+3.22</w:t>
            </w:r>
          </w:p>
        </w:tc>
        <w:tc>
          <w:tcPr>
            <w:tcW w:type="dxa" w:w="25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-1.69</w:t>
            </w:r>
          </w:p>
        </w:tc>
        <w:tc>
          <w:tcPr>
            <w:tcW w:type="dxa" w:w="218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+1.57</w:t>
            </w:r>
          </w:p>
        </w:tc>
      </w:tr>
      <w:tr>
        <w:tc>
          <w:tcPr>
            <w:tcW w:type="dxa" w:w="29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инклюзивность</w:t>
            </w:r>
          </w:p>
        </w:tc>
        <w:tc>
          <w:tcPr>
            <w:tcW w:type="dxa" w:w="24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-3.09</w:t>
            </w:r>
          </w:p>
        </w:tc>
        <w:tc>
          <w:tcPr>
            <w:tcW w:type="dxa" w:w="252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+0.85</w:t>
            </w:r>
          </w:p>
        </w:tc>
        <w:tc>
          <w:tcPr>
            <w:tcW w:type="dxa" w:w="218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-1.44</w:t>
            </w:r>
          </w:p>
        </w:tc>
      </w:tr>
      <w:tr>
        <w:tc>
          <w:tcPr>
            <w:tcW w:type="dxa" w:w="29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антидискриминация</w:t>
            </w:r>
          </w:p>
        </w:tc>
        <w:tc>
          <w:tcPr>
            <w:tcW w:type="dxa" w:w="24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-3.04</w:t>
            </w:r>
          </w:p>
        </w:tc>
        <w:tc>
          <w:tcPr>
            <w:tcW w:type="dxa" w:w="25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+1.07</w:t>
            </w:r>
          </w:p>
        </w:tc>
        <w:tc>
          <w:tcPr>
            <w:tcW w:type="dxa" w:w="218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-1.44</w:t>
            </w:r>
          </w:p>
        </w:tc>
      </w:tr>
      <w:tr>
        <w:tc>
          <w:tcPr>
            <w:tcW w:type="dxa" w:w="29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националистическая</w:t>
            </w:r>
          </w:p>
        </w:tc>
        <w:tc>
          <w:tcPr>
            <w:tcW w:type="dxa" w:w="24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+2.52</w:t>
            </w:r>
          </w:p>
        </w:tc>
        <w:tc>
          <w:tcPr>
            <w:tcW w:type="dxa" w:w="252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-1.27</w:t>
            </w:r>
          </w:p>
        </w:tc>
        <w:tc>
          <w:tcPr>
            <w:tcW w:type="dxa" w:w="218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+1.42</w:t>
            </w:r>
          </w:p>
        </w:tc>
      </w:tr>
    </w:tbl>
    <w:p>
      <w:pPr>
        <w:spacing w:after="80"/>
      </w:pPr>
    </w:p>
    <w:p>
      <w:pPr>
        <w:pStyle w:val="Heading2"/>
      </w:pPr>
      <w:r>
        <w:t>C4 Группа 4</w:t>
      </w:r>
    </w:p>
    <w:p>
      <w:r>
        <w:t>Размер: 17 объектов (17.9% выборки). Отличия от среднего по изученным объектам: «экологическая ответственность» (+1.19 σ), «жёсткая политика в сфере правопорядка» (-1.11 σ), «традиционные семейные ценности» (-1.09 σ). Общность описывается сочетанием оценённых свойств; совпадение электората или причин общности требует внешней проверки.</w:t>
      </w:r>
    </w:p>
    <w:p>
      <w:r>
        <w:t>Состав: Miljöpartiet de gröna, Miljøpartiet De Grønne, Alternativet, Vihreä liitto, Bündnis 90/Die Grünen, GroenLinks, Grüne Partei der Schweiz, Australian Greens, Green Party of Aotearoa New Zealand, Besti flokkurinn, Píratar, Ecolo, Die Grünen – Die Grüne Alternative, Liste Peter Pilz, Green Party, Российская партия пенсионеров, Российская экологическая партия «Зеленые»</w:t>
      </w:r>
    </w:p>
    <w:p>
      <w:r>
        <w:t>Ближайшие к центру представители: Miljöpartiet de gröna, Ecolo, Green Party</w:t>
      </w:r>
    </w:p>
    <w:tbl>
      <w:tblPr>
        <w:tblW w:type="auto" w:w="0"/>
        <w:tblLayout w:type="fixed"/>
        <w:tblLook w:firstColumn="1" w:firstRow="1" w:lastColumn="0" w:lastRow="0" w:noHBand="0" w:noVBand="1" w:val="04A0"/>
      </w:tblPr>
      <w:tblGrid>
        <w:gridCol w:w="3603"/>
        <w:gridCol w:w="2195"/>
        <w:gridCol w:w="2296"/>
        <w:gridCol w:w="1986"/>
      </w:tblGrid>
      <w:tr>
        <w:trPr>
          <w:tblHeader/>
        </w:trPr>
        <w:tc>
          <w:tcPr>
            <w:tcW w:type="dxa" w:w="36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219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29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98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36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экологическая ответственность</w:t>
            </w:r>
          </w:p>
        </w:tc>
        <w:tc>
          <w:tcPr>
            <w:tcW w:type="dxa" w:w="21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+4.06</w:t>
            </w:r>
          </w:p>
        </w:tc>
        <w:tc>
          <w:tcPr>
            <w:tcW w:type="dxa" w:w="229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+0.84</w:t>
            </w:r>
          </w:p>
        </w:tc>
        <w:tc>
          <w:tcPr>
            <w:tcW w:type="dxa" w:w="19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+1.19</w:t>
            </w:r>
          </w:p>
        </w:tc>
      </w:tr>
      <w:tr>
        <w:tc>
          <w:tcPr>
            <w:tcW w:type="dxa" w:w="36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жёсткая политика в сфере правопорядка</w:t>
            </w:r>
          </w:p>
        </w:tc>
        <w:tc>
          <w:tcPr>
            <w:tcW w:type="dxa" w:w="21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-3.12</w:t>
            </w:r>
          </w:p>
        </w:tc>
        <w:tc>
          <w:tcPr>
            <w:tcW w:type="dxa" w:w="229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-0.39</w:t>
            </w:r>
          </w:p>
        </w:tc>
        <w:tc>
          <w:tcPr>
            <w:tcW w:type="dxa" w:w="19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-1.11</w:t>
            </w:r>
          </w:p>
        </w:tc>
      </w:tr>
      <w:tr>
        <w:tc>
          <w:tcPr>
            <w:tcW w:type="dxa" w:w="36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традиционные семейные ценности</w:t>
            </w:r>
          </w:p>
        </w:tc>
        <w:tc>
          <w:tcPr>
            <w:tcW w:type="dxa" w:w="21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-3.29</w:t>
            </w:r>
          </w:p>
        </w:tc>
        <w:tc>
          <w:tcPr>
            <w:tcW w:type="dxa" w:w="229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-0.34</w:t>
            </w:r>
          </w:p>
        </w:tc>
        <w:tc>
          <w:tcPr>
            <w:tcW w:type="dxa" w:w="19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-1.09</w:t>
            </w:r>
          </w:p>
        </w:tc>
      </w:tr>
      <w:tr>
        <w:tc>
          <w:tcPr>
            <w:tcW w:type="dxa" w:w="36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консервативная</w:t>
            </w:r>
          </w:p>
        </w:tc>
        <w:tc>
          <w:tcPr>
            <w:tcW w:type="dxa" w:w="21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-3.59</w:t>
            </w:r>
          </w:p>
        </w:tc>
        <w:tc>
          <w:tcPr>
            <w:tcW w:type="dxa" w:w="229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-0.61</w:t>
            </w:r>
          </w:p>
        </w:tc>
        <w:tc>
          <w:tcPr>
            <w:tcW w:type="dxa" w:w="19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-1.08</w:t>
            </w:r>
          </w:p>
        </w:tc>
      </w:tr>
      <w:tr>
        <w:tc>
          <w:tcPr>
            <w:tcW w:type="dxa" w:w="36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правоцентристская</w:t>
            </w:r>
          </w:p>
        </w:tc>
        <w:tc>
          <w:tcPr>
            <w:tcW w:type="dxa" w:w="21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-3.35</w:t>
            </w:r>
          </w:p>
        </w:tc>
        <w:tc>
          <w:tcPr>
            <w:tcW w:type="dxa" w:w="229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-0.09</w:t>
            </w:r>
          </w:p>
        </w:tc>
        <w:tc>
          <w:tcPr>
            <w:tcW w:type="dxa" w:w="19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-1.07</w:t>
            </w:r>
          </w:p>
        </w:tc>
      </w:tr>
      <w:tr>
        <w:tc>
          <w:tcPr>
            <w:tcW w:type="dxa" w:w="36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прогрессивная</w:t>
            </w:r>
          </w:p>
        </w:tc>
        <w:tc>
          <w:tcPr>
            <w:tcW w:type="dxa" w:w="21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+3.65</w:t>
            </w:r>
          </w:p>
        </w:tc>
        <w:tc>
          <w:tcPr>
            <w:tcW w:type="dxa" w:w="229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+0.19</w:t>
            </w:r>
          </w:p>
        </w:tc>
        <w:tc>
          <w:tcPr>
            <w:tcW w:type="dxa" w:w="19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+1.05</w:t>
            </w:r>
          </w:p>
        </w:tc>
      </w:tr>
    </w:tbl>
    <w:p>
      <w:pPr>
        <w:spacing w:after="80"/>
      </w:pPr>
    </w:p>
    <w:p>
      <w:pPr>
        <w:pStyle w:val="Heading2"/>
      </w:pPr>
      <w:r>
        <w:t>C5 Группа 5</w:t>
      </w:r>
    </w:p>
    <w:p>
      <w:r>
        <w:t>Размер: 14 объектов (14.7% выборки). Отличия от среднего по изученным объектам: «экономический либерализм» (+1.29 σ), «поддержка свободного рынка» (+1.21 σ), «скептицизм к глобализации» (-1.12 σ). Общность описывается сочетанием оценённых свойств; совпадение электората или причин общности требует внешней проверки.</w:t>
      </w:r>
    </w:p>
    <w:p>
      <w:r>
        <w:t>Состав: Centerpartiet, Venstre, Radikale Venstre, Freie Demokratische Partei, Volkspartij voor Vrijheid en Democratie, Democraten 66, Liberal Party of Canada, ACT New Zealand, Mouvement Réformateur, NEOS – Das Neue Österreich und Liberales Forum, Progressive Democrats, Liberal Democrats, Новые люди (российская политическая партия), Яблоко (российская политическая партия)</w:t>
      </w:r>
    </w:p>
    <w:p>
      <w:r>
        <w:t>Ближайшие к центру представители: Centerpartiet, Progressive Democrats, Radikale Venstre</w:t>
      </w:r>
    </w:p>
    <w:tbl>
      <w:tblPr>
        <w:tblW w:type="auto" w:w="0"/>
        <w:tblLayout w:type="fixed"/>
        <w:tblLook w:firstColumn="1" w:firstRow="1" w:lastColumn="0" w:lastRow="0" w:noHBand="0" w:noVBand="1" w:val="04A0"/>
      </w:tblPr>
      <w:tblGrid>
        <w:gridCol w:w="3390"/>
        <w:gridCol w:w="2267"/>
        <w:gridCol w:w="2371"/>
        <w:gridCol w:w="2051"/>
      </w:tblGrid>
      <w:tr>
        <w:trPr>
          <w:tblHeader/>
        </w:trPr>
        <w:tc>
          <w:tcPr>
            <w:tcW w:type="dxa" w:w="339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226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3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205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339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экономический либерализм</w:t>
            </w:r>
          </w:p>
        </w:tc>
        <w:tc>
          <w:tcPr>
            <w:tcW w:type="dxa" w:w="226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+2.79</w:t>
            </w:r>
          </w:p>
        </w:tc>
        <w:tc>
          <w:tcPr>
            <w:tcW w:type="dxa" w:w="23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20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+1.29</w:t>
            </w:r>
          </w:p>
        </w:tc>
      </w:tr>
      <w:tr>
        <w:tc>
          <w:tcPr>
            <w:tcW w:type="dxa" w:w="339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поддержка свободного рынка</w:t>
            </w:r>
          </w:p>
        </w:tc>
        <w:tc>
          <w:tcPr>
            <w:tcW w:type="dxa" w:w="226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+3.07</w:t>
            </w:r>
          </w:p>
        </w:tc>
        <w:tc>
          <w:tcPr>
            <w:tcW w:type="dxa" w:w="23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+0.17</w:t>
            </w:r>
          </w:p>
        </w:tc>
        <w:tc>
          <w:tcPr>
            <w:tcW w:type="dxa" w:w="205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+1.21</w:t>
            </w:r>
          </w:p>
        </w:tc>
      </w:tr>
      <w:tr>
        <w:tc>
          <w:tcPr>
            <w:tcW w:type="dxa" w:w="339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скептицизм к глобализации</w:t>
            </w:r>
          </w:p>
        </w:tc>
        <w:tc>
          <w:tcPr>
            <w:tcW w:type="dxa" w:w="226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-2.71</w:t>
            </w:r>
          </w:p>
        </w:tc>
        <w:tc>
          <w:tcPr>
            <w:tcW w:type="dxa" w:w="23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20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-1.12</w:t>
            </w:r>
          </w:p>
        </w:tc>
      </w:tr>
      <w:tr>
        <w:tc>
          <w:tcPr>
            <w:tcW w:type="dxa" w:w="339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ориентация на бизнес</w:t>
            </w:r>
          </w:p>
        </w:tc>
        <w:tc>
          <w:tcPr>
            <w:tcW w:type="dxa" w:w="226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+2.64</w:t>
            </w:r>
          </w:p>
        </w:tc>
        <w:tc>
          <w:tcPr>
            <w:tcW w:type="dxa" w:w="23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+0.13</w:t>
            </w:r>
          </w:p>
        </w:tc>
        <w:tc>
          <w:tcPr>
            <w:tcW w:type="dxa" w:w="205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+1.06</w:t>
            </w:r>
          </w:p>
        </w:tc>
      </w:tr>
      <w:tr>
        <w:tc>
          <w:tcPr>
            <w:tcW w:type="dxa" w:w="339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поддержка частного сектора</w:t>
            </w:r>
          </w:p>
        </w:tc>
        <w:tc>
          <w:tcPr>
            <w:tcW w:type="dxa" w:w="226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+3.36</w:t>
            </w:r>
          </w:p>
        </w:tc>
        <w:tc>
          <w:tcPr>
            <w:tcW w:type="dxa" w:w="23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+1.27</w:t>
            </w:r>
          </w:p>
        </w:tc>
        <w:tc>
          <w:tcPr>
            <w:tcW w:type="dxa" w:w="20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+0.94</w:t>
            </w:r>
          </w:p>
        </w:tc>
      </w:tr>
      <w:tr>
        <w:tc>
          <w:tcPr>
            <w:tcW w:type="dxa" w:w="339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рациональный прагматизм</w:t>
            </w:r>
          </w:p>
        </w:tc>
        <w:tc>
          <w:tcPr>
            <w:tcW w:type="dxa" w:w="226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+2.57</w:t>
            </w:r>
          </w:p>
        </w:tc>
        <w:tc>
          <w:tcPr>
            <w:tcW w:type="dxa" w:w="23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+1.29</w:t>
            </w:r>
          </w:p>
        </w:tc>
        <w:tc>
          <w:tcPr>
            <w:tcW w:type="dxa" w:w="205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+0.89</w:t>
            </w:r>
          </w:p>
        </w:tc>
      </w:tr>
    </w:tbl>
    <w:p>
      <w:pPr>
        <w:spacing w:after="80"/>
      </w:pPr>
    </w:p>
    <w:p>
      <w:pPr>
        <w:pStyle w:val="Heading1"/>
      </w:pPr>
      <w:r>
        <w:t>Интерпретация политического пространства</w:t>
      </w:r>
    </w:p>
    <w:p>
      <w:r>
        <w:t>Структура задаётся совместными изменениями шкал публичного образа. Близость в факторном пространстве означает сходство оценённых профилей; дистанция показывает различия по выбранным измерениям. Кластеры описывают преобладающие сочетания этих измерений, а пограничные объекты могут разделять свойства нескольких групп.</w:t>
      </w:r>
    </w:p>
    <w:p>
      <w:r>
        <w:t>Пустой участок этой международной карты относится только к прежней выборке и первым 40 признакам. Он не доказывает отсутствие соответствующих идей во всём публичном пространстве, полноту сравнения стран или наличие спроса на свободную нишу.</w:t>
      </w:r>
    </w:p>
    <w:p>
      <w:pPr>
        <w:pStyle w:val="Heading1"/>
      </w:pPr>
      <w:r>
        <w:t>Выбранные объекты подробнее</w:t>
      </w:r>
    </w:p>
    <w:p>
      <w:pPr>
        <w:pStyle w:val="Heading2"/>
      </w:pPr>
      <w:r>
        <w:t>Яблоко российская политическая партия</w:t>
      </w:r>
    </w:p>
    <w:p>
      <w:r>
        <w:t>Наиболее выраженные координаты: F1: -1.26; F2: -0.43. Ближайшая группа определяется расстоянием в полном факторном пространстве.</w:t>
      </w:r>
    </w:p>
    <w:p>
      <w:r>
        <w:t>Кластер: C5. Оценено шкал: 40; пропусков: 0.</w:t>
      </w:r>
    </w:p>
    <w:tbl>
      <w:tblPr>
        <w:tblW w:type="auto" w:w="0"/>
        <w:tblLayout w:type="fixed"/>
        <w:tblLook w:firstColumn="1" w:firstRow="1" w:lastColumn="0" w:lastRow="0" w:noHBand="0" w:noVBand="1" w:val="04A0"/>
      </w:tblPr>
      <w:tblGrid>
        <w:gridCol w:w="4308"/>
        <w:gridCol w:w="5772"/>
      </w:tblGrid>
      <w:tr>
        <w:trPr>
          <w:tblHeader/>
        </w:trPr>
        <w:tc>
          <w:tcPr>
            <w:tcW w:type="dxa" w:w="430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Фактор</w:t>
            </w:r>
          </w:p>
        </w:tc>
        <w:tc>
          <w:tcPr>
            <w:tcW w:type="dxa" w:w="57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Координата</w:t>
            </w:r>
          </w:p>
        </w:tc>
      </w:tr>
      <w:tr>
        <w:tc>
          <w:tcPr>
            <w:tcW w:type="dxa" w:w="430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57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-1.261</w:t>
            </w:r>
          </w:p>
        </w:tc>
      </w:tr>
      <w:tr>
        <w:tc>
          <w:tcPr>
            <w:tcW w:type="dxa" w:w="430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57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-0.431</w:t>
            </w:r>
          </w:p>
        </w:tc>
      </w:tr>
      <w:tr>
        <w:tc>
          <w:tcPr>
            <w:tcW w:type="dxa" w:w="430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57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+0.253</w:t>
            </w:r>
          </w:p>
        </w:tc>
      </w:tr>
      <w:tr>
        <w:tc>
          <w:tcPr>
            <w:tcW w:type="dxa" w:w="430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F4</w:t>
            </w:r>
          </w:p>
        </w:tc>
        <w:tc>
          <w:tcPr>
            <w:tcW w:type="dxa" w:w="57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-0.156</w:t>
            </w:r>
          </w:p>
        </w:tc>
      </w:tr>
    </w:tbl>
    <w:p>
      <w:pPr>
        <w:spacing w:after="80"/>
      </w:pPr>
    </w:p>
    <w:p>
      <w:pPr>
        <w:pStyle w:val="Heading1"/>
      </w:pPr>
      <w:r>
        <w:t>Ограничения и воспроизводимость</w:t>
      </w:r>
    </w:p>
    <w:p>
      <w:r>
        <w:t>Выборка целевая и ограничена заданными критериями. Агрегирование десятилетнего периода может скрыть смену образа. Зависимые источники, смещения поисковой выдачи и оценщика могут влиять на результат. Ни статистическая устойчивость, ни убедительность названия фактора сами по себе не подтверждают его внешнюю валидность.</w:t>
      </w:r>
    </w:p>
    <w:p>
      <w:r>
        <w:t>Сохранены контрольные суммы исходных файлов, состав импортированного примера, преобразованные поэлементные оценки, параметры анализа и отметки imported_example_fixture. Новых досье, независимых оценок полюсов или пользовательских утверждений для этого примера нет.</w:t>
      </w:r>
    </w:p>
    <w:p>
      <w:r>
        <w:t>Численный расчёт: 95 объектов, 40 шкал, 4 факторов и 5 кластеров. Полные показатели качества, правила выбора размерности, пропуски, параметры и seed сохранены в metadata.json рядом с матрицами.</w:t>
      </w:r>
    </w:p>
    <w:p>
      <w:pPr>
        <w:pStyle w:val="Heading1"/>
      </w:pPr>
      <w:r>
        <w:t>Объекты и источники</w:t>
      </w:r>
    </w:p>
    <w:p>
      <w:pPr>
        <w:pStyle w:val="Heading2"/>
      </w:pPr>
      <w:r>
        <w:t>Socialdemokraterna</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Moderata samlingspartiet</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Sverigedemokraterna</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Miljöpartiet de gröna</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Kristdemokraterna</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Centerpartiet</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Vänsterpartiet</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Ny demokrati</w:t>
      </w:r>
    </w:p>
    <w:p>
      <w:r>
        <w:t>Партия из сохранённой международной выборки; страна: Швеция. Импортирована из прежней матрицы для технического примера интерфейса и экспорта; новая выборка не формировалась</w:t>
      </w:r>
    </w:p>
    <w:p>
      <w:pPr>
        <w:pStyle w:val="Heading2"/>
      </w:pPr>
      <w:r>
        <w:t>Arbeiderpartiet</w:t>
      </w:r>
    </w:p>
    <w:p>
      <w:r>
        <w:t>Партия из сохранённой международной выборки; страна: Норвегия. Импортирована из прежней матрицы для технического примера интерфейса и экспорта; новая выборка не формировалась</w:t>
      </w:r>
    </w:p>
    <w:p>
      <w:pPr>
        <w:pStyle w:val="Heading2"/>
      </w:pPr>
      <w:r>
        <w:t>Fremskrittspartiet</w:t>
      </w:r>
    </w:p>
    <w:p>
      <w:r>
        <w:t>Партия из сохранённой международной выборки; страна: Норвегия. Импортирована из прежней матрицы для технического примера интерфейса и экспорта; новая выборка не формировалась</w:t>
      </w:r>
    </w:p>
    <w:p>
      <w:pPr>
        <w:pStyle w:val="Heading2"/>
      </w:pPr>
      <w:r>
        <w:t>Sosialistisk Venstreparti</w:t>
      </w:r>
    </w:p>
    <w:p>
      <w:r>
        <w:t>Партия из сохранённой международной выборки; страна: Норвегия. Импортирована из прежней матрицы для технического примера интерфейса и экспорта; новая выборка не формировалась</w:t>
      </w:r>
    </w:p>
    <w:p>
      <w:pPr>
        <w:pStyle w:val="Heading2"/>
      </w:pPr>
      <w:r>
        <w:t>Miljøpartiet De Grønne</w:t>
      </w:r>
    </w:p>
    <w:p>
      <w:r>
        <w:t>Партия из сохранённой международной выборки; страна: Норвегия. Импортирована из прежней матрицы для технического примера интерфейса и экспорта; новая выборка не формировалась</w:t>
      </w:r>
    </w:p>
    <w:p>
      <w:pPr>
        <w:pStyle w:val="Heading2"/>
      </w:pPr>
      <w:r>
        <w:t>Socialdemokratiet</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Venstre</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Fremskridtspartiet</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Dansk Folkeparti</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Radikale Venstre</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SF Socialistisk Folkeparti</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Enhedslisten</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Nye Borgerlige</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Alternativet</w:t>
      </w:r>
    </w:p>
    <w:p>
      <w:r>
        <w:t>Партия из сохранённой международной выборки; страна: Дания. Импортирована из прежней матрицы для технического примера интерфейса и экспорта; новая выборка не формировалась</w:t>
      </w:r>
    </w:p>
    <w:p>
      <w:pPr>
        <w:pStyle w:val="Heading2"/>
      </w:pPr>
      <w:r>
        <w:t>Suomen Keskusta</w:t>
      </w:r>
    </w:p>
    <w:p>
      <w:r>
        <w:t>Партия из сохранённой международной выборки; страна: Финляндия. Импортирована из прежней матрицы для технического примера интерфейса и экспорта; новая выборка не формировалась</w:t>
      </w:r>
    </w:p>
    <w:p>
      <w:pPr>
        <w:pStyle w:val="Heading2"/>
      </w:pPr>
      <w:r>
        <w:t>Suomen Sosialidemokraattinen Puolue</w:t>
      </w:r>
    </w:p>
    <w:p>
      <w:r>
        <w:t>Партия из сохранённой международной выборки; страна: Финляндия. Импортирована из прежней матрицы для технического примера интерфейса и экспорта; новая выборка не формировалась</w:t>
      </w:r>
    </w:p>
    <w:p>
      <w:pPr>
        <w:pStyle w:val="Heading2"/>
      </w:pPr>
      <w:r>
        <w:t>Perussuomalaiset</w:t>
      </w:r>
    </w:p>
    <w:p>
      <w:r>
        <w:t>Партия из сохранённой международной выборки; страна: Финляндия. Импортирована из прежней матрицы для технического примера интерфейса и экспорта; новая выборка не формировалась</w:t>
      </w:r>
    </w:p>
    <w:p>
      <w:pPr>
        <w:pStyle w:val="Heading2"/>
      </w:pPr>
      <w:r>
        <w:t>Vihreä liitto</w:t>
      </w:r>
    </w:p>
    <w:p>
      <w:r>
        <w:t>Партия из сохранённой международной выборки; страна: Финляндия. Импортирована из прежней матрицы для технического примера интерфейса и экспорта; новая выборка не формировалась</w:t>
      </w:r>
    </w:p>
    <w:p>
      <w:pPr>
        <w:pStyle w:val="Heading2"/>
      </w:pPr>
      <w:r>
        <w:t>Christlich Demokratische Union Deutschlands</w:t>
      </w:r>
    </w:p>
    <w:p>
      <w:r>
        <w:t>Партия из сохранённой международной выборки; страна: Германия. Импортирована из прежней матрицы для технического примера интерфейса и экспорта; новая выборка не формировалась</w:t>
      </w:r>
    </w:p>
    <w:p>
      <w:pPr>
        <w:pStyle w:val="Heading2"/>
      </w:pPr>
      <w:r>
        <w:t>Sozialdemokratische Partei Deutschlands</w:t>
      </w:r>
    </w:p>
    <w:p>
      <w:r>
        <w:t>Партия из сохранённой международной выборки; страна: Германия. Импортирована из прежней матрицы для технического примера интерфейса и экспорта; новая выборка не формировалась</w:t>
      </w:r>
    </w:p>
    <w:p>
      <w:pPr>
        <w:pStyle w:val="Heading2"/>
      </w:pPr>
      <w:r>
        <w:t>Bündnis 90 Die Grünen</w:t>
      </w:r>
    </w:p>
    <w:p>
      <w:r>
        <w:t>Партия из сохранённой международной выборки; страна: Германия. Импортирована из прежней матрицы для технического примера интерфейса и экспорта; новая выборка не формировалась</w:t>
      </w:r>
    </w:p>
    <w:p>
      <w:pPr>
        <w:pStyle w:val="Heading2"/>
      </w:pPr>
      <w:r>
        <w:t>Alternative für Deutschland</w:t>
      </w:r>
    </w:p>
    <w:p>
      <w:r>
        <w:t>Партия из сохранённой международной выборки; страна: Германия. Импортирована из прежней матрицы для технического примера интерфейса и экспорта; новая выборка не формировалась</w:t>
      </w:r>
    </w:p>
    <w:p>
      <w:pPr>
        <w:pStyle w:val="Heading2"/>
      </w:pPr>
      <w:r>
        <w:t>Freie Demokratische Partei</w:t>
      </w:r>
    </w:p>
    <w:p>
      <w:r>
        <w:t>Партия из сохранённой международной выборки; страна: Германия. Импортирована из прежней матрицы для технического примера интерфейса и экспорта; новая выборка не формировалась</w:t>
      </w:r>
    </w:p>
    <w:p>
      <w:pPr>
        <w:pStyle w:val="Heading2"/>
      </w:pPr>
      <w:r>
        <w:t>Die Linke</w:t>
      </w:r>
    </w:p>
    <w:p>
      <w:r>
        <w:t>Партия из сохранённой международной выборки; страна: Германия. Импортирована из прежней матрицы для технического примера интерфейса и экспорта; новая выборка не формировалась</w:t>
      </w:r>
    </w:p>
    <w:p>
      <w:pPr>
        <w:pStyle w:val="Heading2"/>
      </w:pPr>
      <w:r>
        <w:t>Volkspartij voor Vrijheid en Democratie</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Partij van de Arbeid</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Christen Democratisch Appèl</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Democraten 66</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Partij voor de Vrijheid</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Forum voor Democratie</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GroenLinks</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BoerBurgerBeweging</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Lijst Pim Fortuyn</w:t>
      </w:r>
    </w:p>
    <w:p>
      <w:r>
        <w:t>Партия из сохранённой международной выборки; страна: Нидерланды. Импортирована из прежней матрицы для технического примера интерфейса и экспорта; новая выборка не формировалась</w:t>
      </w:r>
    </w:p>
    <w:p>
      <w:pPr>
        <w:pStyle w:val="Heading2"/>
      </w:pPr>
      <w:r>
        <w:t>Schweizerische Volkspartei</w:t>
      </w:r>
    </w:p>
    <w:p>
      <w:r>
        <w:t>Партия из сохранённой международной выборки; страна: Швейцария. Импортирована из прежней матрицы для технического примера интерфейса и экспорта; новая выборка не формировалась</w:t>
      </w:r>
    </w:p>
    <w:p>
      <w:pPr>
        <w:pStyle w:val="Heading2"/>
      </w:pPr>
      <w:r>
        <w:t>Grüne Partei der Schweiz</w:t>
      </w:r>
    </w:p>
    <w:p>
      <w:r>
        <w:t>Партия из сохранённой международной выборки; страна: Швейцария. Импортирована из прежней матрицы для технического примера интерфейса и экспорта; новая выборка не формировалась</w:t>
      </w:r>
    </w:p>
    <w:p>
      <w:pPr>
        <w:pStyle w:val="Heading2"/>
      </w:pPr>
      <w:r>
        <w:t>Liberal Party of Canada</w:t>
      </w:r>
    </w:p>
    <w:p>
      <w:r>
        <w:t>Партия из сохранённой международной выборки; страна: Канада. Импортирована из прежней матрицы для технического примера интерфейса и экспорта; новая выборка не формировалась</w:t>
      </w:r>
    </w:p>
    <w:p>
      <w:pPr>
        <w:pStyle w:val="Heading2"/>
      </w:pPr>
      <w:r>
        <w:t>Progressive Conservative Party of Canada</w:t>
      </w:r>
    </w:p>
    <w:p>
      <w:r>
        <w:t>Партия из сохранённой международной выборки; страна: Канада. Импортирована из прежней матрицы для технического примера интерфейса и экспорта; новая выборка не формировалась</w:t>
      </w:r>
    </w:p>
    <w:p>
      <w:pPr>
        <w:pStyle w:val="Heading2"/>
      </w:pPr>
      <w:r>
        <w:t>Reform Party of Canada</w:t>
      </w:r>
    </w:p>
    <w:p>
      <w:r>
        <w:t>Партия из сохранённой международной выборки; страна: Канада. Импортирована из прежней матрицы для технического примера интерфейса и экспорта; новая выборка не формировалась</w:t>
      </w:r>
    </w:p>
    <w:p>
      <w:pPr>
        <w:pStyle w:val="Heading2"/>
      </w:pPr>
      <w:r>
        <w:t>Bloc Québécois</w:t>
      </w:r>
    </w:p>
    <w:p>
      <w:r>
        <w:t>Партия из сохранённой международной выборки; страна: Канада. Импортирована из прежней матрицы для технического примера интерфейса и экспорта; новая выборка не формировалась</w:t>
      </w:r>
    </w:p>
    <w:p>
      <w:pPr>
        <w:pStyle w:val="Heading2"/>
      </w:pPr>
      <w:r>
        <w:t>New Democratic Party</w:t>
      </w:r>
    </w:p>
    <w:p>
      <w:r>
        <w:t>Партия из сохранённой международной выборки; страна: Канада. Импортирована из прежней матрицы для технического примера интерфейса и экспорта; новая выборка не формировалась</w:t>
      </w:r>
    </w:p>
    <w:p>
      <w:pPr>
        <w:pStyle w:val="Heading2"/>
      </w:pPr>
      <w:r>
        <w:t>Australian Labor Party</w:t>
      </w:r>
    </w:p>
    <w:p>
      <w:r>
        <w:t>Партия из сохранённой международной выборки; страна: Австралия. Импортирована из прежней матрицы для технического примера интерфейса и экспорта; новая выборка не формировалась</w:t>
      </w:r>
    </w:p>
    <w:p>
      <w:pPr>
        <w:pStyle w:val="Heading2"/>
      </w:pPr>
      <w:r>
        <w:t>Liberal Party of Australia</w:t>
      </w:r>
    </w:p>
    <w:p>
      <w:r>
        <w:t>Партия из сохранённой международной выборки; страна: Австралия. Импортирована из прежней матрицы для технического примера интерфейса и экспорта; новая выборка не формировалась</w:t>
      </w:r>
    </w:p>
    <w:p>
      <w:pPr>
        <w:pStyle w:val="Heading2"/>
      </w:pPr>
      <w:r>
        <w:t>Pauline Hanson s One Nation</w:t>
      </w:r>
    </w:p>
    <w:p>
      <w:r>
        <w:t>Партия из сохранённой международной выборки; страна: Австралия. Импортирована из прежней матрицы для технического примера интерфейса и экспорта; новая выборка не формировалась</w:t>
      </w:r>
    </w:p>
    <w:p>
      <w:pPr>
        <w:pStyle w:val="Heading2"/>
      </w:pPr>
      <w:r>
        <w:t>Australian Greens</w:t>
      </w:r>
    </w:p>
    <w:p>
      <w:r>
        <w:t>Партия из сохранённой международной выборки; страна: Австралия. Импортирована из прежней матрицы для технического примера интерфейса и экспорта; новая выборка не формировалась</w:t>
      </w:r>
    </w:p>
    <w:p>
      <w:pPr>
        <w:pStyle w:val="Heading2"/>
      </w:pPr>
      <w:r>
        <w:t>Palmer United Party</w:t>
      </w:r>
    </w:p>
    <w:p>
      <w:r>
        <w:t>Партия из сохранённой международной выборки; страна: Австралия. Импортирована из прежней матрицы для технического примера интерфейса и экспорта; новая выборка не формировалась</w:t>
      </w:r>
    </w:p>
    <w:p>
      <w:pPr>
        <w:pStyle w:val="Heading2"/>
      </w:pPr>
      <w:r>
        <w:t>New Zealand National Party</w:t>
      </w:r>
    </w:p>
    <w:p>
      <w:r>
        <w:t>Партия из сохранённой международной выборки; страна: Новая Зеландия. Импортирована из прежней матрицы для технического примера интерфейса и экспорта; новая выборка не формировалась</w:t>
      </w:r>
    </w:p>
    <w:p>
      <w:pPr>
        <w:pStyle w:val="Heading2"/>
      </w:pPr>
      <w:r>
        <w:t>New Zealand Labour Party</w:t>
      </w:r>
    </w:p>
    <w:p>
      <w:r>
        <w:t>Партия из сохранённой международной выборки; страна: Новая Зеландия. Импортирована из прежней матрицы для технического примера интерфейса и экспорта; новая выборка не формировалась</w:t>
      </w:r>
    </w:p>
    <w:p>
      <w:pPr>
        <w:pStyle w:val="Heading2"/>
      </w:pPr>
      <w:r>
        <w:t>New Zealand First</w:t>
      </w:r>
    </w:p>
    <w:p>
      <w:r>
        <w:t>Партия из сохранённой международной выборки; страна: Новая Зеландия. Импортирована из прежней матрицы для технического примера интерфейса и экспорта; новая выборка не формировалась</w:t>
      </w:r>
    </w:p>
    <w:p>
      <w:pPr>
        <w:pStyle w:val="Heading2"/>
      </w:pPr>
      <w:r>
        <w:t>Alliance</w:t>
      </w:r>
    </w:p>
    <w:p>
      <w:r>
        <w:t>Партия из сохранённой международной выборки; страна: Новая Зеландия. Импортирована из прежней матрицы для технического примера интерфейса и экспорта; новая выборка не формировалась</w:t>
      </w:r>
    </w:p>
    <w:p>
      <w:pPr>
        <w:pStyle w:val="Heading2"/>
      </w:pPr>
      <w:r>
        <w:t>ACT New Zealand</w:t>
      </w:r>
    </w:p>
    <w:p>
      <w:r>
        <w:t>Партия из сохранённой международной выборки; страна: Новая Зеландия. Импортирована из прежней матрицы для технического примера интерфейса и экспорта; новая выборка не формировалась</w:t>
      </w:r>
    </w:p>
    <w:p>
      <w:pPr>
        <w:pStyle w:val="Heading2"/>
      </w:pPr>
      <w:r>
        <w:t>Green Party of Aotearoa New Zealand</w:t>
      </w:r>
    </w:p>
    <w:p>
      <w:r>
        <w:t>Партия из сохранённой международной выборки; страна: Новая Зеландия. Импортирована из прежней матрицы для технического примера интерфейса и экспорта; новая выборка не формировалась</w:t>
      </w:r>
    </w:p>
    <w:p>
      <w:pPr>
        <w:pStyle w:val="Heading2"/>
      </w:pPr>
      <w:r>
        <w:t>Sjálfstæðisflokkurinn</w:t>
      </w:r>
    </w:p>
    <w:p>
      <w:r>
        <w:t>Партия из сохранённой международной выборки; страна: Исландия. Импортирована из прежней матрицы для технического примера интерфейса и экспорта; новая выборка не формировалась</w:t>
      </w:r>
    </w:p>
    <w:p>
      <w:pPr>
        <w:pStyle w:val="Heading2"/>
      </w:pPr>
      <w:r>
        <w:t>Framsóknarflokkurinn</w:t>
      </w:r>
    </w:p>
    <w:p>
      <w:r>
        <w:t>Партия из сохранённой международной выборки; страна: Исландия. Импортирована из прежней матрицы для технического примера интерфейса и экспорта; новая выборка не формировалась</w:t>
      </w:r>
    </w:p>
    <w:p>
      <w:pPr>
        <w:pStyle w:val="Heading2"/>
      </w:pPr>
      <w:r>
        <w:t>Besti flokkurinn</w:t>
      </w:r>
    </w:p>
    <w:p>
      <w:r>
        <w:t>Партия из сохранённой международной выборки; страна: Исландия. Импортирована из прежней матрицы для технического примера интерфейса и экспорта; новая выборка не формировалась</w:t>
      </w:r>
    </w:p>
    <w:p>
      <w:pPr>
        <w:pStyle w:val="Heading2"/>
      </w:pPr>
      <w:r>
        <w:t>Píratar</w:t>
      </w:r>
    </w:p>
    <w:p>
      <w:r>
        <w:t>Партия из сохранённой международной выборки; страна: Исландия. Импортирована из прежней матрицы для технического примера интерфейса и экспорта; новая выборка не формировалась</w:t>
      </w:r>
    </w:p>
    <w:p>
      <w:pPr>
        <w:pStyle w:val="Heading2"/>
      </w:pPr>
      <w:r>
        <w:t>Parti Socialiste</w:t>
      </w:r>
    </w:p>
    <w:p>
      <w:r>
        <w:t>Партия из сохранённой международной выборки; страна: Бельгия. Импортирована из прежней матрицы для технического примера интерфейса и экспорта; новая выборка не формировалась</w:t>
      </w:r>
    </w:p>
    <w:p>
      <w:pPr>
        <w:pStyle w:val="Heading2"/>
      </w:pPr>
      <w:r>
        <w:t>Christelijke Volkspartij</w:t>
      </w:r>
    </w:p>
    <w:p>
      <w:r>
        <w:t>Партия из сохранённой международной выборки; страна: Бельгия. Импортирована из прежней матрицы для технического примера интерфейса и экспорта; новая выборка не формировалась</w:t>
      </w:r>
    </w:p>
    <w:p>
      <w:pPr>
        <w:pStyle w:val="Heading2"/>
      </w:pPr>
      <w:r>
        <w:t>Parti Social Chrétien</w:t>
      </w:r>
    </w:p>
    <w:p>
      <w:r>
        <w:t>Партия из сохранённой международной выборки; страна: Бельгия. Импортирована из прежней матрицы для технического примера интерфейса и экспорта; новая выборка не формировалась</w:t>
      </w:r>
    </w:p>
    <w:p>
      <w:pPr>
        <w:pStyle w:val="Heading2"/>
      </w:pPr>
      <w:r>
        <w:t>Vlaams Blok</w:t>
      </w:r>
    </w:p>
    <w:p>
      <w:r>
        <w:t>Партия из сохранённой международной выборки; страна: Бельгия. Импортирована из прежней матрицы для технического примера интерфейса и экспорта; новая выборка не формировалась</w:t>
      </w:r>
    </w:p>
    <w:p>
      <w:pPr>
        <w:pStyle w:val="Heading2"/>
      </w:pPr>
      <w:r>
        <w:t>Nieuw Vlaamse Alliantie</w:t>
      </w:r>
    </w:p>
    <w:p>
      <w:r>
        <w:t>Партия из сохранённой международной выборки; страна: Бельгия. Импортирована из прежней матрицы для технического примера интерфейса и экспорта; новая выборка не формировалась</w:t>
      </w:r>
    </w:p>
    <w:p>
      <w:pPr>
        <w:pStyle w:val="Heading2"/>
      </w:pPr>
      <w:r>
        <w:t>Ecolo</w:t>
      </w:r>
    </w:p>
    <w:p>
      <w:r>
        <w:t>Партия из сохранённой международной выборки; страна: Бельгия. Импортирована из прежней матрицы для технического примера интерфейса и экспорта; новая выборка не формировалась</w:t>
      </w:r>
    </w:p>
    <w:p>
      <w:pPr>
        <w:pStyle w:val="Heading2"/>
      </w:pPr>
      <w:r>
        <w:t>Mouvement Réformateur</w:t>
      </w:r>
    </w:p>
    <w:p>
      <w:r>
        <w:t>Партия из сохранённой международной выборки; страна: Бельгия. Импортирована из прежней матрицы для технического примера интерфейса и экспорта; новая выборка не формировалась</w:t>
      </w:r>
    </w:p>
    <w:p>
      <w:pPr>
        <w:pStyle w:val="Heading2"/>
      </w:pPr>
      <w:r>
        <w:t>Sozialdemokratische Partei Österreichs</w:t>
      </w:r>
    </w:p>
    <w:p>
      <w:r>
        <w:t>Партия из сохранённой международной выборки; страна: Австрия. Импортирована из прежней матрицы для технического примера интерфейса и экспорта; новая выборка не формировалась</w:t>
      </w:r>
    </w:p>
    <w:p>
      <w:pPr>
        <w:pStyle w:val="Heading2"/>
      </w:pPr>
      <w:r>
        <w:t>Österreichische Volkspartei</w:t>
      </w:r>
    </w:p>
    <w:p>
      <w:r>
        <w:t>Партия из сохранённой международной выборки; страна: Австрия. Импортирована из прежней матрицы для технического примера интерфейса и экспорта; новая выборка не формировалась</w:t>
      </w:r>
    </w:p>
    <w:p>
      <w:pPr>
        <w:pStyle w:val="Heading2"/>
      </w:pPr>
      <w:r>
        <w:t>Freiheitliche Partei Österreichs</w:t>
      </w:r>
    </w:p>
    <w:p>
      <w:r>
        <w:t>Партия из сохранённой международной выборки; страна: Австрия. Импортирована из прежней матрицы для технического примера интерфейса и экспорта; новая выборка не формировалась</w:t>
      </w:r>
    </w:p>
    <w:p>
      <w:pPr>
        <w:pStyle w:val="Heading2"/>
      </w:pPr>
      <w:r>
        <w:t>Die Grünen Die Grüne Alternative</w:t>
      </w:r>
    </w:p>
    <w:p>
      <w:r>
        <w:t>Партия из сохранённой международной выборки; страна: Австрия. Импортирована из прежней матрицы для технического примера интерфейса и экспорта; новая выборка не формировалась</w:t>
      </w:r>
    </w:p>
    <w:p>
      <w:pPr>
        <w:pStyle w:val="Heading2"/>
      </w:pPr>
      <w:r>
        <w:t>Team Stronach für Österreich</w:t>
      </w:r>
    </w:p>
    <w:p>
      <w:r>
        <w:t>Партия из сохранённой международной выборки; страна: Австрия. Импортирована из прежней матрицы для технического примера интерфейса и экспорта; новая выборка не формировалась</w:t>
      </w:r>
    </w:p>
    <w:p>
      <w:pPr>
        <w:pStyle w:val="Heading2"/>
      </w:pPr>
      <w:r>
        <w:t>NEOS Das Neue Österreich und Liberales Forum</w:t>
      </w:r>
    </w:p>
    <w:p>
      <w:r>
        <w:t>Партия из сохранённой международной выборки; страна: Австрия. Импортирована из прежней матрицы для технического примера интерфейса и экспорта; новая выборка не формировалась</w:t>
      </w:r>
    </w:p>
    <w:p>
      <w:pPr>
        <w:pStyle w:val="Heading2"/>
      </w:pPr>
      <w:r>
        <w:t>Liste Peter Pilz</w:t>
      </w:r>
    </w:p>
    <w:p>
      <w:r>
        <w:t>Партия из сохранённой международной выборки; страна: Австрия. Импортирована из прежней матрицы для технического примера интерфейса и экспорта; новая выборка не формировалась</w:t>
      </w:r>
    </w:p>
    <w:p>
      <w:pPr>
        <w:pStyle w:val="Heading2"/>
      </w:pPr>
      <w:r>
        <w:t>Fianna Fáil</w:t>
      </w:r>
    </w:p>
    <w:p>
      <w:r>
        <w:t>Партия из сохранённой международной выборки; страна: Ирландия. Импортирована из прежней матрицы для технического примера интерфейса и экспорта; новая выборка не формировалась</w:t>
      </w:r>
    </w:p>
    <w:p>
      <w:pPr>
        <w:pStyle w:val="Heading2"/>
      </w:pPr>
      <w:r>
        <w:t>Fine Gael</w:t>
      </w:r>
    </w:p>
    <w:p>
      <w:r>
        <w:t>Партия из сохранённой международной выборки; страна: Ирландия. Импортирована из прежней матрицы для технического примера интерфейса и экспорта; новая выборка не формировалась</w:t>
      </w:r>
    </w:p>
    <w:p>
      <w:pPr>
        <w:pStyle w:val="Heading2"/>
      </w:pPr>
      <w:r>
        <w:t>Sinn Féin</w:t>
      </w:r>
    </w:p>
    <w:p>
      <w:r>
        <w:t>Партия из сохранённой международной выборки; страна: Ирландия. Импортирована из прежней матрицы для технического примера интерфейса и экспорта; новая выборка не формировалась</w:t>
      </w:r>
    </w:p>
    <w:p>
      <w:pPr>
        <w:pStyle w:val="Heading2"/>
      </w:pPr>
      <w:r>
        <w:t>Progressive Democrats</w:t>
      </w:r>
    </w:p>
    <w:p>
      <w:r>
        <w:t>Партия из сохранённой международной выборки; страна: Ирландия. Импортирована из прежней матрицы для технического примера интерфейса и экспорта; новая выборка не формировалась</w:t>
      </w:r>
    </w:p>
    <w:p>
      <w:pPr>
        <w:pStyle w:val="Heading2"/>
      </w:pPr>
      <w:r>
        <w:t>Green Party</w:t>
      </w:r>
    </w:p>
    <w:p>
      <w:r>
        <w:t>Партия из сохранённой международной выборки; страна: Ирландия. Импортирована из прежней матрицы для технического примера интерфейса и экспорта; новая выборка не формировалась</w:t>
      </w:r>
    </w:p>
    <w:p>
      <w:pPr>
        <w:pStyle w:val="Heading2"/>
      </w:pPr>
      <w:r>
        <w:t>Labour Party</w:t>
      </w:r>
    </w:p>
    <w:p>
      <w:r>
        <w:t>Партия из сохранённой международной выборки; страна: Ирландия. Импортирована из прежней матрицы для технического примера интерфейса и экспорта; новая выборка не формировалась</w:t>
      </w:r>
    </w:p>
    <w:p>
      <w:pPr>
        <w:pStyle w:val="Heading2"/>
      </w:pPr>
      <w:r>
        <w:t>Conservative Party</w:t>
      </w:r>
    </w:p>
    <w:p>
      <w:r>
        <w:t>Партия из сохранённой международной выборки; страна: Великобритания. Импортирована из прежней матрицы для технического примера интерфейса и экспорта; новая выборка не формировалась</w:t>
      </w:r>
    </w:p>
    <w:p>
      <w:pPr>
        <w:pStyle w:val="Heading2"/>
      </w:pPr>
      <w:r>
        <w:t>Liberal Democrats</w:t>
      </w:r>
    </w:p>
    <w:p>
      <w:r>
        <w:t>Партия из сохранённой международной выборки; страна: Великобритания. Импортирована из прежней матрицы для технического примера интерфейса и экспорта; новая выборка не формировалась</w:t>
      </w:r>
    </w:p>
    <w:p>
      <w:pPr>
        <w:pStyle w:val="Heading2"/>
      </w:pPr>
      <w:r>
        <w:t>UK Independence Party</w:t>
      </w:r>
    </w:p>
    <w:p>
      <w:r>
        <w:t>Партия из сохранённой международной выборки; страна: Великобритания. Импортирована из прежней матрицы для технического примера интерфейса и экспорта; новая выборка не формировалась</w:t>
      </w:r>
    </w:p>
    <w:p>
      <w:pPr>
        <w:pStyle w:val="Heading2"/>
      </w:pPr>
      <w:r>
        <w:t>Scottish National Party</w:t>
      </w:r>
    </w:p>
    <w:p>
      <w:r>
        <w:t>Партия из сохранённой международной выборки; страна: Великобритания. Импортирована из прежней матрицы для технического примера интерфейса и экспорта; новая выборка не формировалась</w:t>
      </w:r>
    </w:p>
    <w:p>
      <w:pPr>
        <w:pStyle w:val="Heading2"/>
      </w:pPr>
      <w:r>
        <w:t>Коммунистическая партия Российской Федерации</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Единая Россия</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Справедливая Россия</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Российская партия пенсионеров</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Либерально демократическая партия России</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Новые люди российская политическая партия</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Родина российская политическая партия</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Российская экологическая партия Зеленые</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p>
      <w:pPr>
        <w:pStyle w:val="Heading2"/>
      </w:pPr>
      <w:r>
        <w:t>Яблоко российская политическая партия</w:t>
      </w:r>
    </w:p>
    <w:p>
      <w:r>
        <w:t>Партия из сохранённой международной выборки; страна: Россия. Импортирована из прежней матрицы для технического примера интерфейса и экспорта; новая выборка не формировалась</w:t>
      </w:r>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3" w:lineRule="auto"/>
      <w:outlineLvl w:val="0"/>
    </w:pPr>
    <w:rPr>
      <w:rFonts w:asciiTheme="majorHAnsi" w:eastAsiaTheme="majorEastAsia" w:hAnsiTheme="majorHAnsi" w:cstheme="majorBidi" w:ascii="Arial" w:hAnsi="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320" w:after="160" w:line="283" w:lineRule="auto"/>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320" w:after="160" w:line="283" w:lineRule="auto"/>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83"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3" w:lineRule="auto"/>
    </w:pPr>
    <w:rPr>
      <w:rFonts w:asciiTheme="majorHAnsi" w:eastAsiaTheme="majorEastAsia" w:hAnsiTheme="majorHAnsi" w:cstheme="majorBidi" w:ascii="Arial" w:hAnsi="Arial"/>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60"/>
    </w:pPr>
    <w:rPr>
      <w:rFonts w:ascii="Arial" w:hAnsi="Arial"/>
      <w:b/>
      <w:bCs/>
      <w:color w:val="555B63"/>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Пример: ранее собранные партии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