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VIII. Architecture</w:t>
      </w:r>
    </w:p>
    <w:p>
      <w:r>
        <w:rPr>
          <w:b/>
        </w:rPr>
        <w:t>1. Integration Capabilities</w:t>
      </w:r>
    </w:p>
    <w:p>
      <w:r>
        <w:t>The solution must integrate seamlessly with existing enterprise systems and support multiple integration patterns.</w:t>
      </w:r>
    </w:p>
    <w:p>
      <w:r>
        <w:rPr>
          <w:b/>
        </w:rPr>
        <w:t>APIs</w:t>
      </w:r>
    </w:p>
    <w:p>
      <w:r>
        <w:t>The solution must expose RESTful APIs or GraphQL endpoints, secured using OAuth 2.0 or API key authentication.</w:t>
      </w:r>
    </w:p>
    <w:p>
      <w:r>
        <w:t>API rate limiting and throttling must be configurable per client.</w:t>
      </w:r>
    </w:p>
    <w:p>
      <w:r>
        <w:rPr>
          <w:b/>
        </w:rPr>
        <w:t>File Exchanges</w:t>
      </w:r>
    </w:p>
    <w:p>
      <w:r>
        <w:t>The solution must support file-based data exchange via SFTP.</w:t>
      </w:r>
    </w:p>
    <w:p>
      <w:r>
        <w:t>Supported formats must include CSV, XML, and JSON.</w:t>
      </w:r>
    </w:p>
    <w:p>
      <w:r>
        <w:t>File processing must support scheduling and error handling with retry logic.</w:t>
      </w:r>
    </w:p>
    <w:p>
      <w:r>
        <w:rPr>
          <w:b/>
        </w:rPr>
        <w:t>Event Bus</w:t>
      </w:r>
    </w:p>
    <w:p>
      <w:r>
        <w:t>The solution must support event-driven integration via Apache Kafka or Azure Event Hub.</w:t>
      </w:r>
    </w:p>
    <w:p>
      <w:r>
        <w:t>Real-time synchronization of master data and transactional events is required.</w:t>
      </w:r>
    </w:p>
    <w:p>
      <w:r>
        <w:rPr>
          <w:b/>
        </w:rPr>
        <w:t>2. Security</w:t>
      </w:r>
    </w:p>
    <w:p>
      <w:r>
        <w:t>The solution must meet enterprise security standards as outlined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Data encryption at rest</w:t>
            </w:r>
          </w:p>
        </w:tc>
        <w:tc>
          <w:tcPr>
            <w:tcW w:type="dxa" w:w="2880"/>
          </w:tcPr>
          <w:p>
            <w:r>
              <w:t>AES-256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Data encryption in transit</w:t>
            </w:r>
          </w:p>
        </w:tc>
        <w:tc>
          <w:tcPr>
            <w:tcW w:type="dxa" w:w="2880"/>
          </w:tcPr>
          <w:p>
            <w:r>
              <w:t>TLS 1.2+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SSO Integration</w:t>
            </w:r>
          </w:p>
        </w:tc>
        <w:tc>
          <w:tcPr>
            <w:tcW w:type="dxa" w:w="2880"/>
          </w:tcPr>
          <w:p>
            <w:r>
              <w:t>SAML 2.0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</w:tbl>
    <w:p>
      <w:r>
        <w:t>All security controls must be auditable and compliant with ISO 27001.</w:t>
      </w:r>
    </w:p>
    <w:p>
      <w:r>
        <w:rPr>
          <w:b/>
        </w:rPr>
        <w:t>3. Monitoring</w:t>
      </w:r>
    </w:p>
    <w:p>
      <w:r>
        <w:t>The solution must provide comprehensive monitoring and alerting capabilities.</w:t>
      </w:r>
    </w:p>
    <w:p>
      <w:r>
        <w:rPr>
          <w:b/>
          <w:color w:val="0066CC"/>
          <w:sz w:val="20"/>
        </w:rPr>
        <w:t xml:space="preserve">BY Response: </w:t>
      </w:r>
      <w:r>
        <w:rPr>
          <w:color w:val="0066CC"/>
          <w:sz w:val="20"/>
        </w:rPr>
        <w:t>Blue Yonder provides built-in monitoring through Azure Monitor integration, with configurable alerts and dashboards for real-time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