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240AC" w14:textId="535FC1CC" w:rsidR="00342CA3" w:rsidRDefault="00342CA3">
      <w:pPr>
        <w:spacing w:after="1440"/>
        <w:jc w:val="right"/>
      </w:pPr>
    </w:p>
    <w:p w14:paraId="6037C9C5" w14:textId="77777777" w:rsidR="00342CA3" w:rsidRDefault="007A52C0">
      <w:pPr>
        <w:spacing w:before="560"/>
        <w:jc w:val="right"/>
      </w:pPr>
      <w:r>
        <w:rPr>
          <w:rFonts w:ascii="Titillium Web SemiBold" w:eastAsia="Titillium Web SemiBold" w:hAnsi="Titillium Web SemiBold"/>
          <w:color w:val="000000"/>
          <w:sz w:val="36"/>
        </w:rPr>
        <w:t>OpenClaw Integration Guide</w:t>
      </w:r>
    </w:p>
    <w:p w14:paraId="574468C0" w14:textId="77777777" w:rsidR="00342CA3" w:rsidRDefault="007A52C0">
      <w:pPr>
        <w:pBdr>
          <w:bottom w:val="single" w:sz="18" w:space="1" w:color="6499B7"/>
        </w:pBdr>
        <w:spacing w:before="1040" w:after="80"/>
      </w:pPr>
      <w:r>
        <w:rPr>
          <w:rFonts w:ascii="Arial Bold" w:eastAsia="Arial Bold" w:hAnsi="Arial Bold"/>
          <w:b/>
          <w:color w:val="000000"/>
          <w:sz w:val="60"/>
        </w:rPr>
        <w:t>Radware Agentic AI</w:t>
      </w:r>
      <w:r>
        <w:br/>
      </w:r>
      <w:r>
        <w:rPr>
          <w:rFonts w:ascii="Arial Bold" w:eastAsia="Arial Bold" w:hAnsi="Arial Bold"/>
          <w:b/>
          <w:color w:val="6499B7"/>
          <w:sz w:val="60"/>
        </w:rPr>
        <w:t>Protection</w:t>
      </w:r>
    </w:p>
    <w:p w14:paraId="767373F3" w14:textId="77777777" w:rsidR="00342CA3" w:rsidRDefault="007A52C0">
      <w:pPr>
        <w:spacing w:before="320"/>
      </w:pPr>
      <w:r>
        <w:t>In-path and out-of-path deployment options</w:t>
      </w:r>
    </w:p>
    <w:p w14:paraId="46342830" w14:textId="488D4111" w:rsidR="00342CA3" w:rsidRDefault="00F62D7D">
      <w:pPr>
        <w:spacing w:before="2400"/>
      </w:pPr>
      <w:r>
        <w:t>Written by: Sean Ramati</w:t>
        <w:br/>
        <w:t>Version 1.1</w:t>
        <w:br/>
        <w:t>June 29, 2026</w:t>
        <w:br/>
        <w:t>NPM package: openclaw-radware-agentic-protection@0.2.0</w:t>
      </w:r>
    </w:p>
    <w:p w14:paraId="59F69D77" w14:textId="77777777" w:rsidR="00342CA3" w:rsidRDefault="007A52C0">
      <w:pPr>
        <w:spacing w:before="3400"/>
      </w:pPr>
      <w:r>
        <w:rPr>
          <w:color w:val="595959"/>
          <w:sz w:val="18"/>
        </w:rPr>
        <w:lastRenderedPageBreak/>
        <w:t>For implementation details, use the published GitHub repository and NPM package.</w:t>
      </w:r>
    </w:p>
    <w:p w14:paraId="6503CAE0" w14:textId="77777777" w:rsidR="00342CA3" w:rsidRDefault="007A52C0">
      <w:r>
        <w:br w:type="page"/>
      </w:r>
    </w:p>
    <w:p w14:paraId="5D8ADBC0" w14:textId="77777777" w:rsidR="00342CA3" w:rsidRDefault="007A52C0">
      <w:pPr>
        <w:pStyle w:val="Heading1"/>
      </w:pPr>
      <w:r>
        <w:lastRenderedPageBreak/>
        <w:t>Solution Overview</w:t>
      </w:r>
    </w:p>
    <w:p w14:paraId="331D2F90" w14:textId="77777777" w:rsidR="00342CA3" w:rsidRDefault="007A52C0">
      <w:r>
        <w:t>OpenClaw is an agent and gateway environment that can route user requests to LLM providers and execute tools or workflow actions through plugins. This integration supports two Radware Agentic AI Protection deployment options for OpenClaw: in-path provider routing or out-of-path explicit API enforcement.</w:t>
      </w:r>
    </w:p>
    <w:p w14:paraId="01B686DA" w14:textId="77777777" w:rsidR="00342CA3" w:rsidRDefault="007A52C0">
      <w:r>
        <w:t>The published solution can be used in a new OpenClaw deployment or added to an existing OpenClaw gateway without replacing existing agents, channels, tools, or provider configuration.</w:t>
      </w:r>
    </w:p>
    <w:p w14:paraId="525FFD03" w14:textId="77777777" w:rsidR="00342CA3" w:rsidRDefault="007A52C0">
      <w:pPr>
        <w:pStyle w:val="Heading2"/>
      </w:pPr>
      <w:r>
        <w:t>What We Published</w:t>
      </w:r>
    </w:p>
    <w:p w14:paraId="477A2F30" w14:textId="77777777" w:rsidR="00342CA3" w:rsidRDefault="007A52C0">
      <w:pPr>
        <w:pStyle w:val="ListBullet"/>
        <w:spacing w:after="40"/>
        <w:ind w:left="432"/>
      </w:pPr>
      <w:r>
        <w:t>GitHub repository with the customer guide, setup examples, validation scripts, and troubleshooting notes.</w:t>
      </w:r>
    </w:p>
    <w:p w14:paraId="35711FC7" w14:textId="77777777" w:rsidR="00342CA3" w:rsidRDefault="007A52C0">
      <w:pPr>
        <w:pStyle w:val="ListBullet"/>
        <w:spacing w:after="40"/>
        <w:ind w:left="432"/>
      </w:pPr>
      <w:r>
        <w:t>NPM package that provides a single interactive radware-openclaw-setup wizard, installs the OpenClaw out-of-path plugin when needed, and preserves secrets outside openclaw.json.</w:t>
      </w:r>
    </w:p>
    <w:p w14:paraId="4FDCD8E1" w14:textId="77777777" w:rsidR="00342CA3" w:rsidRDefault="007A52C0">
      <w:pPr>
        <w:pStyle w:val="ListBullet"/>
        <w:spacing w:after="40"/>
        <w:ind w:left="432"/>
      </w:pPr>
      <w:r>
        <w:t>Validation evidence for AI Guardrails, Behavioral protection, Report Only behavior, and fail-open / fail-close handling.</w:t>
      </w:r>
    </w:p>
    <w:p w14:paraId="6679036E" w14:textId="77777777" w:rsidR="00342CA3" w:rsidRDefault="007A52C0">
      <w:r>
        <w:rPr>
          <w:b/>
        </w:rPr>
        <w:t xml:space="preserve">GitHub: </w:t>
      </w:r>
      <w:hyperlink r:id="rId11">
        <w:r w:rsidR="00342CA3">
          <w:rPr>
            <w:color w:val="E2231A"/>
            <w:u w:val="single"/>
          </w:rPr>
          <w:t>github.com/rdwr-seanr/openclaw-radware-agentic-protection</w:t>
        </w:r>
      </w:hyperlink>
    </w:p>
    <w:p w14:paraId="4B858F0B" w14:textId="77777777" w:rsidR="00342CA3" w:rsidRDefault="007A52C0">
      <w:r>
        <w:rPr>
          <w:b/>
        </w:rPr>
        <w:t xml:space="preserve">NPM: </w:t>
      </w:r>
      <w:hyperlink r:id="rId12">
        <w:r w:rsidR="00342CA3">
          <w:rPr>
            <w:color w:val="E2231A"/>
            <w:u w:val="single"/>
          </w:rPr>
          <w:t>npmjs.com/package/openclaw-radware-agentic-protection</w:t>
        </w:r>
      </w:hyperlink>
    </w:p>
    <w:p w14:paraId="5DCD6B0B" w14:textId="77777777" w:rsidR="00342CA3" w:rsidRDefault="007A52C0">
      <w:pPr>
        <w:pStyle w:val="Heading2"/>
      </w:pPr>
      <w:r>
        <w:t>Guiding Recommendation</w:t>
      </w:r>
    </w:p>
    <w:p w14:paraId="2C905ADE" w14:textId="77777777" w:rsidR="00342CA3" w:rsidRDefault="007A52C0">
      <w:r>
        <w:t>Choose exactly one integration path for a given OpenClaw deployment. Use in-path when Radware should sit inline on OpenClaw provider traffic. Use out-of-path when OpenClaw should call Radware explicitly from OpenClaw lifecycle hooks. New setup-generated out-of-path configs enable prompt, response, and tool-stage checks. Do not configure in-path and out-of-path together in the same OpenClaw environment.</w:t>
      </w:r>
    </w:p>
    <w:p w14:paraId="38FAB045" w14:textId="77777777" w:rsidR="00342CA3" w:rsidRDefault="007A52C0">
      <w:r>
        <w:br w:type="page"/>
      </w:r>
    </w:p>
    <w:p w14:paraId="044914B2" w14:textId="77777777" w:rsidR="00342CA3" w:rsidRDefault="007A52C0">
      <w:pPr>
        <w:pStyle w:val="Heading1"/>
      </w:pPr>
      <w:r>
        <w:lastRenderedPageBreak/>
        <w:t>OpenClaw Protection Model</w:t>
      </w:r>
    </w:p>
    <w:p w14:paraId="02ABAB0A" w14:textId="77777777" w:rsidR="00342CA3" w:rsidRDefault="007A52C0">
      <w:pPr>
        <w:pStyle w:val="Heading2"/>
      </w:pPr>
      <w:r>
        <w:t>In-path / Inline Protection</w:t>
      </w:r>
    </w:p>
    <w:p w14:paraId="0ECD3EDB" w14:textId="77777777" w:rsidR="00342CA3" w:rsidRDefault="007A52C0">
      <w:r>
        <w:t>In-path protection routes OpenClaw provider traffic through Radware using an OpenAI-compatible provider configuration. OpenClaw uses the Radware in-path API key as the model-provider API key and sends prompt, response, and tool-call context to the Radware in-path base URL when that context is part of the provider request.</w:t>
      </w:r>
    </w:p>
    <w:p w14:paraId="72F10F14" w14:textId="77777777" w:rsidR="00342CA3" w:rsidRDefault="007A52C0">
      <w:pPr>
        <w:pStyle w:val="ListBullet"/>
        <w:spacing w:after="40"/>
        <w:ind w:left="432"/>
      </w:pPr>
      <w:r>
        <w:t>Best fit: inline enforcement when Radware should be in the provider path for AI Guardrails and Behavioral / Agentic Protection.</w:t>
      </w:r>
    </w:p>
    <w:p w14:paraId="24DC79F6" w14:textId="77777777" w:rsidR="00342CA3" w:rsidRDefault="007A52C0">
      <w:pPr>
        <w:pStyle w:val="ListBullet"/>
        <w:spacing w:after="40"/>
        <w:ind w:left="432"/>
      </w:pPr>
      <w:r>
        <w:t>Credential rule: the Radware in-path key is used in the Radware provider entry. The customer OpenAI key is not placed in that entry.</w:t>
      </w:r>
    </w:p>
    <w:p w14:paraId="393FAA69" w14:textId="77777777" w:rsidR="00342CA3" w:rsidRDefault="007A52C0">
      <w:pPr>
        <w:pStyle w:val="ListBullet"/>
        <w:spacing w:after="40"/>
        <w:ind w:left="432"/>
      </w:pPr>
      <w:r>
        <w:t>Operational behavior: in-path is fail-close by default because model traffic is routed through Radware.</w:t>
      </w:r>
    </w:p>
    <w:p w14:paraId="5A794207" w14:textId="77777777" w:rsidR="00342CA3" w:rsidRDefault="007A52C0">
      <w:pPr>
        <w:pStyle w:val="Heading2"/>
      </w:pPr>
      <w:r>
        <w:t>Out-of-path Explicit API Protection</w:t>
      </w:r>
    </w:p>
    <w:p w14:paraId="78E6F61C" w14:textId="77777777" w:rsidR="00342CA3" w:rsidRDefault="007A52C0">
      <w:r>
        <w:t>Out-of-path protection keeps the customer LLM provider in place and adds explicit Radware checks from OpenClaw lifecycle hooks. New setup-generated configs enable prompt-stage, response-stage, and tool-stage enforcement. Existing configs without stage settings remain tool-stage only until upgraded intentionally.</w:t>
      </w:r>
    </w:p>
    <w:p w14:paraId="4F7C7BC5" w14:textId="77777777" w:rsidR="00342CA3" w:rsidRDefault="007A52C0">
      <w:pPr>
        <w:pStyle w:val="ListBullet"/>
        <w:spacing w:after="40"/>
        <w:ind w:left="432"/>
      </w:pPr>
      <w:r>
        <w:t>Best fit: explicit enforcement when the customer wants to keep the normal LLM provider while Radware checks prompt, response, and tool/action stages.</w:t>
      </w:r>
    </w:p>
    <w:p w14:paraId="75A5081C" w14:textId="77777777" w:rsidR="00342CA3" w:rsidRDefault="007A52C0">
      <w:pPr>
        <w:pStyle w:val="ListBullet"/>
        <w:spacing w:after="40"/>
        <w:ind w:left="432"/>
      </w:pPr>
      <w:r>
        <w:t>Credential rule: the plugin uses the Radware out-of-path API key. The customer LLM provider key and endpoint stay in the customer's existing OpenClaw provider and are not collected by the Radware setup wizard.</w:t>
      </w:r>
    </w:p>
    <w:p w14:paraId="57350851" w14:textId="77777777" w:rsidR="00342CA3" w:rsidRDefault="007A52C0">
      <w:pPr>
        <w:pStyle w:val="ListBullet"/>
        <w:spacing w:after="40"/>
        <w:ind w:left="432"/>
      </w:pPr>
      <w:r>
        <w:t>Portal behavior: Block and Report stops the protected stage; Report Only allows the stage and records the finding in Radware.</w:t>
      </w:r>
    </w:p>
    <w:p w14:paraId="288CE5DE" w14:textId="77777777" w:rsidR="00342CA3" w:rsidRDefault="007A52C0">
      <w:pPr>
        <w:pStyle w:val="Heading2"/>
      </w:pPr>
      <w:r>
        <w:t>Credential Summary</w:t>
      </w:r>
    </w:p>
    <w:p w14:paraId="405B3257" w14:textId="77777777" w:rsidR="00342CA3" w:rsidRDefault="007A52C0">
      <w:r>
        <w:t>In-path requires a Radware in-path API key. Out-of-path requires a Radware out-of-path API key and the customer LLM provider remains configured separately. The setup wizard writes keys to a chmod 600 runtime env file and never stores secrets in openclaw.json.</w:t>
      </w:r>
    </w:p>
    <w:p>
      <w:pPr>
        <w:pStyle w:val="Heading2"/>
      </w:pPr>
      <w:r>
        <w:t>Provider Endpoint Notes</w:t>
      </w:r>
    </w:p>
    <w:p>
      <w:pPr>
        <w:pStyle w:val="ListBullet"/>
      </w:pPr>
      <w:r>
        <w:t>In-path: the Radware base URL path must match the provider configured in the Radware portal. OpenAI is validated with https://api.agentic.radwarecto.com/v1/openai.</w:t>
      </w:r>
    </w:p>
    <w:p>
      <w:pPr>
        <w:pStyle w:val="ListBullet"/>
      </w:pPr>
      <w:r>
        <w:t>Gemini in-path: direct Gemini OpenAI-compatible API worked at https://generativelanguage.googleapis.com/v1beta/openai with model gemini-2.5-flash, but tested Radware paths such as /v1/gemini and /v1/google did not produce a valid proxied Gemini result. Keep Gemini in-path as portal/Radware review until the correct path is confirmed.</w:t>
      </w:r>
    </w:p>
    <w:p>
      <w:pPr>
        <w:pStyle w:val="ListBullet"/>
      </w:pPr>
      <w:r>
        <w:t>NVIDIA/Nemotron direct endpoint: https://integrate.api.nvidia.com/v1 worked with model nvidia/nemotron-3-nano-30b-a3b. Test a dedicated Radware in-path deployment before documenting NVIDIA in-path as supported.</w:t>
      </w:r>
    </w:p>
    <w:p>
      <w:pPr>
        <w:pStyle w:val="ListBullet"/>
      </w:pPr>
      <w:r>
        <w:t>Out-of-path: OpenClaw continues using the customer's existing LLM provider. The Radware plugin sends only the model identifier as ModelToUse for context.</w:t>
      </w:r>
    </w:p>
    <w:p w14:paraId="05A71265" w14:textId="77777777" w:rsidR="00342CA3" w:rsidRDefault="007A52C0">
      <w:r>
        <w:br w:type="page"/>
      </w:r>
    </w:p>
    <w:p w14:paraId="7579578C" w14:textId="77777777" w:rsidR="00342CA3" w:rsidRDefault="007A52C0">
      <w:pPr>
        <w:pStyle w:val="Heading1"/>
      </w:pPr>
      <w:r>
        <w:lastRenderedPageBreak/>
        <w:t>Customer Rollout</w:t>
      </w:r>
    </w:p>
    <w:p>
      <w:pPr>
        <w:pStyle w:val="Heading2"/>
      </w:pPr>
      <w:r>
        <w:t>Customer Installation</w:t>
      </w:r>
    </w:p>
    <w:p>
      <w:pPr/>
      <w:r>
        <w:t>Prerequisite: OpenClaw is already installed, onboarded, and has an existing openclaw.json. Run commands as the same OS user that owns the OpenClaw config and runs the gateway.</w:t>
      </w:r>
    </w:p>
    <w:p>
      <w:pPr/>
      <w:r>
        <w:t>1. Create the selected Radware protection in the portal and copy the Radware API key.</w:t>
      </w:r>
    </w:p>
    <w:p>
      <w:pPr>
        <w:pStyle w:val="NoSpacing"/>
      </w:pPr>
      <w:r>
        <w:t>2. Run one command: npx -y -p openclaw-radware-agentic-protection@latest radware-openclaw-setup</w:t>
      </w:r>
    </w:p>
    <w:p>
      <w:pPr/>
      <w:r>
        <w:t>3. Choose in-path or out-of-path and paste the Radware values when prompted. For out-of-path, keep the customer LLM provider already configured in OpenClaw.</w:t>
      </w:r>
    </w:p>
    <w:p>
      <w:pPr>
        <w:pStyle w:val="NoSpacing"/>
      </w:pPr>
      <w:r>
        <w:t>4. Load the generated env file, then start OpenClaw: set -a; . ~/.openclaw/radware.env; set +a; openclaw gateway run --force</w:t>
      </w:r>
    </w:p>
    <w:p>
      <w:pPr/>
      <w:r>
        <w:t>5. If setup fails, use the printed diagnostic-log path. For out-of-path runtime failures, review ~/.openclaw/logs/radware-agentic-runtime.jsonl and the OpenClaw gateway log.</w:t>
      </w:r>
    </w:p>
    <w:p w14:paraId="7A6DEAAE" w14:textId="77777777" w:rsidR="00342CA3" w:rsidRDefault="007A52C0">
      <w:pPr>
        <w:pStyle w:val="Heading2"/>
      </w:pPr>
      <w:r>
        <w:t>Easy Customer Commands</w:t>
      </w:r>
    </w:p>
    <w:p w14:paraId="65D10CDF" w14:textId="77777777" w:rsidR="00342CA3" w:rsidRDefault="007A52C0">
      <w:pPr>
        <w:pStyle w:val="NoSpacing"/>
      </w:pPr>
      <w:r>
        <w:t>npx -y -p openclaw-radware-agentic-protection@latest radware-openclaw-setup</w:t>
      </w:r>
    </w:p>
    <w:p w14:paraId="1FE7A400" w14:textId="77777777" w:rsidR="00342CA3" w:rsidRDefault="007A52C0">
      <w:pPr>
        <w:pStyle w:val="NoSpacing"/>
      </w:pPr>
      <w:r>
        <w:t>openclaw plugins install npm:openclaw-radware-agentic-protection@latest</w:t>
      </w:r>
    </w:p>
    <w:p w14:paraId="148B5770" w14:textId="77777777" w:rsidR="00342CA3" w:rsidRDefault="007A52C0">
      <w:pPr>
        <w:pStyle w:val="NoSpacing"/>
      </w:pPr>
      <w:r>
        <w:t>set -a; . ~/.openclaw/radware.env; set +a; openclaw gateway run --force</w:t>
      </w:r>
    </w:p>
    <w:p w14:paraId="31D502A7" w14:textId="77777777" w:rsidR="00C74030" w:rsidRDefault="007A52C0">
      <w:pPr>
        <w:pStyle w:val="Heading2"/>
      </w:pPr>
      <w:r>
        <w:t>Package Version Guidance</w:t>
      </w:r>
    </w:p>
    <w:p w14:paraId="53D39470" w14:textId="77777777" w:rsidR="00C74030" w:rsidRDefault="007A52C0">
      <w:pPr>
        <w:pStyle w:val="ListBullet"/>
      </w:pPr>
      <w:r>
        <w:t>Use openclaw-radware-agentic-protection@latest in customer-facing commands.</w:t>
      </w:r>
    </w:p>
    <w:p w14:paraId="76F2695F" w14:textId="77777777" w:rsidR="00C74030" w:rsidRDefault="007A52C0">
      <w:pPr>
        <w:pStyle w:val="ListBullet"/>
      </w:pPr>
      <w:r>
        <w:t>Version 0.2.0 is the customer release version for the interactive wizard, full-stage out-of-path enforcement, sanitized diagnostics, and strict one-path-per-OpenClaw deployment guardrails.</w:t>
      </w:r>
    </w:p>
    <w:p w14:paraId="4CC155CD" w14:textId="77777777" w:rsidR="00C74030" w:rsidRDefault="007A52C0">
      <w:pPr>
        <w:pStyle w:val="ListBullet"/>
      </w:pPr>
      <w:r>
        <w:t>Do not unpublish normal superseded NPM versions; deprecate older versions with an upgrade message if needed.</w:t>
      </w:r>
    </w:p>
    <w:p w14:paraId="40A62972" w14:textId="77777777" w:rsidR="00342CA3" w:rsidRDefault="007A52C0">
      <w:pPr>
        <w:pStyle w:val="Heading2"/>
      </w:pPr>
      <w:r>
        <w:t>Validation Summary</w:t>
      </w:r>
    </w:p>
    <w:p w14:paraId="4190D860" w14:textId="77777777" w:rsidR="00342CA3" w:rsidRDefault="007A52C0">
      <w:pPr>
        <w:pStyle w:val="ListBullet"/>
        <w:spacing w:after="40"/>
        <w:ind w:left="432"/>
      </w:pPr>
      <w:r>
        <w:t>Validated coverage includes OpenAI in-path AI Guardrails, out-of-path PII and HAPBlocker, Behavioral send_email blocking, Report Only allow behavior, and out-of-path fail-open / fail-close handling. Out-of-path blocked-topic prompt-stage behavior should be verified in the Radware portal for the selected template.</w:t>
      </w:r>
    </w:p>
    <w:p w14:paraId="1A260410" w14:textId="77777777" w:rsidR="00342CA3" w:rsidRDefault="007A52C0">
      <w:r>
        <w:br w:type="page"/>
      </w:r>
    </w:p>
    <w:p w14:paraId="3F76912F" w14:textId="77777777" w:rsidR="00342CA3" w:rsidRDefault="007A52C0">
      <w:pPr>
        <w:pStyle w:val="Heading1"/>
      </w:pPr>
      <w:r>
        <w:lastRenderedPageBreak/>
        <w:t>Operational Guidance</w:t>
      </w:r>
    </w:p>
    <w:p w14:paraId="42AC9AD4" w14:textId="77777777" w:rsidR="00342CA3" w:rsidRDefault="007A52C0">
      <w:pPr>
        <w:pStyle w:val="Heading2"/>
      </w:pPr>
      <w:r>
        <w:t>Key Notes For Customers</w:t>
      </w:r>
    </w:p>
    <w:p>
      <w:pPr>
        <w:pStyle w:val="Heading2"/>
      </w:pPr>
      <w:r>
        <w:t>Diagnostics And Support</w:t>
      </w:r>
    </w:p>
    <w:p>
      <w:pPr>
        <w:pStyle w:val="ListBullet"/>
      </w:pPr>
      <w:r>
        <w:t>Setup failures write a sanitized diagnostic log under ~/.openclaw/logs/radware-openclaw-setup-&lt;timestamp&gt;.log. The log includes versions, selected mode, config path, attempted actions, plugin-install output, and the error stack.</w:t>
      </w:r>
    </w:p>
    <w:p>
      <w:pPr>
        <w:pStyle w:val="ListBullet"/>
      </w:pPr>
      <w:r>
        <w:t>Out-of-path runtime diagnostics use RADWARE_AGENTIC_DIAGNOSTIC_LOG and default to ~/.openclaw/logs/radware-agentic-runtime.jsonl when the setup-generated env file is loaded.</w:t>
      </w:r>
    </w:p>
    <w:p>
      <w:pPr>
        <w:pStyle w:val="ListBullet"/>
      </w:pPr>
      <w:r>
        <w:t>Diagnostics include stage, endpoint host/path, model identifier, payload sizes, HTTP status, Event ID when present, and fail-open/fail-close decision. They do not include API keys, full prompts, tool arguments, or full payload bodies.</w:t>
      </w:r>
    </w:p>
    <w:p w14:paraId="72BCA049" w14:textId="77777777" w:rsidR="00342CA3" w:rsidRDefault="007A52C0">
      <w:pPr>
        <w:pStyle w:val="ListBullet"/>
        <w:spacing w:after="40"/>
        <w:ind w:left="432"/>
      </w:pPr>
      <w:r>
        <w:t>Use clear portal identifiers such as openclaw-in-path and openclaw-out-of-path so events are easy to find in Radware.</w:t>
      </w:r>
    </w:p>
    <w:p w14:paraId="39E22D4D" w14:textId="77777777" w:rsidR="00342CA3" w:rsidRDefault="007A52C0">
      <w:pPr>
        <w:pStyle w:val="ListBullet"/>
        <w:spacing w:after="40"/>
        <w:ind w:left="432"/>
      </w:pPr>
      <w:r>
        <w:t>Report Only may not expose a client-visible Event ID when the action is allowed; verify those findings in the Radware portal.</w:t>
      </w:r>
    </w:p>
    <w:p w14:paraId="34F0B1A6" w14:textId="77777777" w:rsidR="00342CA3" w:rsidRDefault="007A52C0">
      <w:pPr>
        <w:pStyle w:val="ListBullet"/>
        <w:spacing w:after="40"/>
        <w:ind w:left="432"/>
      </w:pPr>
      <w:r>
        <w:t>Use fail-close for production agents that can send, write, delete, or make network calls unless fail-open risk is explicitly accepted.</w:t>
      </w:r>
    </w:p>
    <w:p w14:paraId="10DBFC82" w14:textId="77777777" w:rsidR="00342CA3" w:rsidRDefault="007A52C0">
      <w:pPr>
        <w:pStyle w:val="Heading2"/>
      </w:pPr>
      <w:r>
        <w:t>Where To Go Next</w:t>
      </w:r>
    </w:p>
    <w:p w14:paraId="6272BA7A" w14:textId="77777777" w:rsidR="00342CA3" w:rsidRDefault="007A52C0">
      <w:r>
        <w:t>This document includes the basic installation journey. The GitHub repository and NPM package remain the source of truth for implementation details, current commands, validation scripts, diagnostics, and troubleshooting updates.</w:t>
      </w:r>
    </w:p>
    <w:p w14:paraId="6668BD73" w14:textId="77777777" w:rsidR="00342CA3" w:rsidRDefault="007A52C0">
      <w:r>
        <w:rPr>
          <w:b/>
        </w:rPr>
        <w:t xml:space="preserve">Implementation repository: </w:t>
      </w:r>
      <w:hyperlink r:id="rId13">
        <w:r w:rsidR="00342CA3">
          <w:rPr>
            <w:color w:val="E2231A"/>
            <w:u w:val="single"/>
          </w:rPr>
          <w:t>https://github.com/rdwr-seanr/openclaw-radware-agentic-protection</w:t>
        </w:r>
      </w:hyperlink>
    </w:p>
    <w:p w14:paraId="5B38CA87" w14:textId="77777777" w:rsidR="00342CA3" w:rsidRDefault="007A52C0">
      <w:r>
        <w:rPr>
          <w:b/>
        </w:rPr>
        <w:t xml:space="preserve">NPM package: </w:t>
      </w:r>
      <w:hyperlink r:id="rId14">
        <w:r w:rsidR="00342CA3">
          <w:rPr>
            <w:color w:val="E2231A"/>
            <w:u w:val="single"/>
          </w:rPr>
          <w:t>https://www.npmjs.com/package/openclaw-radware-agentic-protection</w:t>
        </w:r>
      </w:hyperlink>
    </w:p>
    <w:sectPr w:rsidR="00342CA3" w:rsidSect="00034616">
      <w:headerReference w:type="default" r:id="rId15"/>
      <w:footerReference w:type="even" r:id="rId16"/>
      <w:footerReference w:type="default" r:id="rId17"/>
      <w:pgSz w:w="12240" w:h="15840"/>
      <w:pgMar w:top="2275" w:right="1440" w:bottom="0" w:left="1440" w:header="677" w:footer="11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B9216" w14:textId="77777777" w:rsidR="007A52C0" w:rsidRDefault="007A52C0">
      <w:pPr>
        <w:spacing w:after="0" w:line="240" w:lineRule="auto"/>
      </w:pPr>
      <w:r>
        <w:separator/>
      </w:r>
    </w:p>
  </w:endnote>
  <w:endnote w:type="continuationSeparator" w:id="0">
    <w:p w14:paraId="68FEDF91" w14:textId="77777777" w:rsidR="007A52C0" w:rsidRDefault="007A5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tillium Web Light">
    <w:charset w:val="00"/>
    <w:family w:val="auto"/>
    <w:pitch w:val="variable"/>
    <w:sig w:usb0="00000007" w:usb1="00000001"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tillium Web SemiBold">
    <w:charset w:val="00"/>
    <w:family w:val="auto"/>
    <w:pitch w:val="variable"/>
    <w:sig w:usb0="00000007" w:usb1="00000001" w:usb2="00000000" w:usb3="00000000" w:csb0="00000093" w:csb1="00000000"/>
  </w:font>
  <w:font w:name="Arial Bold">
    <w:panose1 w:val="020B0704020202020204"/>
    <w:charset w:val="00"/>
    <w:family w:val="roman"/>
    <w:notTrueType/>
    <w:pitch w:val="default"/>
  </w:font>
  <w:font w:name="Titillium Web Bold">
    <w:altName w:val="Titillium Web"/>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7700354"/>
      <w:docPartObj>
        <w:docPartGallery w:val="Page Numbers (Bottom of Page)"/>
        <w:docPartUnique/>
      </w:docPartObj>
    </w:sdtPr>
    <w:sdtEndPr/>
    <w:sdtContent>
      <w:p w14:paraId="7EF718B0" w14:textId="77777777" w:rsidR="007A52C0" w:rsidRDefault="007A52C0" w:rsidP="00591E18">
        <w:pPr>
          <w:pStyle w:val="Footer"/>
        </w:pPr>
        <w:r>
          <w:fldChar w:fldCharType="begin"/>
        </w:r>
        <w:r>
          <w:instrText xml:space="preserve"> PAGE </w:instrText>
        </w:r>
        <w:r>
          <w:fldChar w:fldCharType="end"/>
        </w:r>
      </w:p>
    </w:sdtContent>
  </w:sdt>
  <w:sdt>
    <w:sdtPr>
      <w:id w:val="-1853644882"/>
      <w:docPartObj>
        <w:docPartGallery w:val="Page Numbers (Bottom of Page)"/>
        <w:docPartUnique/>
      </w:docPartObj>
    </w:sdtPr>
    <w:sdtEndPr/>
    <w:sdtContent>
      <w:p w14:paraId="687B09AD" w14:textId="77777777" w:rsidR="007A52C0" w:rsidRDefault="007A52C0" w:rsidP="00591E18">
        <w:pPr>
          <w:pStyle w:val="Footer"/>
        </w:pPr>
        <w:r>
          <w:fldChar w:fldCharType="begin"/>
        </w:r>
        <w:r>
          <w:instrText xml:space="preserve"> PAGE </w:instrText>
        </w:r>
        <w:r>
          <w:fldChar w:fldCharType="end"/>
        </w:r>
      </w:p>
    </w:sdtContent>
  </w:sdt>
  <w:p w14:paraId="532F27DC" w14:textId="77777777" w:rsidR="007A52C0" w:rsidRDefault="007A52C0" w:rsidP="00591E18">
    <w:pPr>
      <w:pStyle w:val="Footer"/>
    </w:pPr>
  </w:p>
  <w:p w14:paraId="5318FFFB" w14:textId="77777777" w:rsidR="007A52C0" w:rsidRDefault="007A52C0" w:rsidP="00591E18">
    <w:pPr>
      <w:pStyle w:val="Footer"/>
    </w:pPr>
  </w:p>
  <w:p w14:paraId="012130F4" w14:textId="77777777" w:rsidR="007A52C0" w:rsidRDefault="007A52C0" w:rsidP="00591E1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2233037"/>
      <w:docPartObj>
        <w:docPartGallery w:val="Page Numbers (Bottom of Page)"/>
        <w:docPartUnique/>
      </w:docPartObj>
    </w:sdtPr>
    <w:sdtEndPr/>
    <w:sdtContent>
      <w:p w14:paraId="01ACFC22" w14:textId="77777777" w:rsidR="007A52C0" w:rsidRDefault="007A52C0" w:rsidP="00591E18">
        <w:pPr>
          <w:pStyle w:val="Footer"/>
        </w:pPr>
        <w:r>
          <w:fldChar w:fldCharType="begin"/>
        </w:r>
        <w:r>
          <w:instrText xml:space="preserve"> PAGE </w:instrText>
        </w:r>
        <w:r>
          <w:fldChar w:fldCharType="separate"/>
        </w:r>
        <w:r>
          <w:rPr>
            <w:noProof/>
          </w:rPr>
          <w:t>27</w:t>
        </w:r>
        <w:r>
          <w:fldChar w:fldCharType="end"/>
        </w:r>
      </w:p>
    </w:sdtContent>
  </w:sdt>
  <w:p w14:paraId="64515760" w14:textId="21B92540" w:rsidR="007A52C0" w:rsidRPr="00A96B16" w:rsidRDefault="007A52C0" w:rsidP="009C5215">
    <w:pPr>
      <w:pStyle w:val="Footer"/>
    </w:pPr>
    <w:r w:rsidRPr="003857EE">
      <w:rPr>
        <w:noProof/>
        <w:lang w:bidi="he-IL"/>
      </w:rPr>
      <w:drawing>
        <wp:anchor distT="0" distB="0" distL="114300" distR="114300" simplePos="0" relativeHeight="251658242" behindDoc="1" locked="0" layoutInCell="1" allowOverlap="1" wp14:anchorId="31C60926" wp14:editId="1559D31F">
          <wp:simplePos x="0" y="0"/>
          <wp:positionH relativeFrom="column">
            <wp:posOffset>-904240</wp:posOffset>
          </wp:positionH>
          <wp:positionV relativeFrom="paragraph">
            <wp:posOffset>-170612</wp:posOffset>
          </wp:positionV>
          <wp:extent cx="7784584" cy="855825"/>
          <wp:effectExtent l="0" t="0" r="0" b="0"/>
          <wp:wrapNone/>
          <wp:docPr id="1457137523" name="Picture 145713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
                  <a:stretch>
                    <a:fillRect/>
                  </a:stretch>
                </pic:blipFill>
                <pic:spPr>
                  <a:xfrm>
                    <a:off x="0" y="0"/>
                    <a:ext cx="7784584" cy="855825"/>
                  </a:xfrm>
                  <a:prstGeom prst="rect">
                    <a:avLst/>
                  </a:prstGeom>
                </pic:spPr>
              </pic:pic>
            </a:graphicData>
          </a:graphic>
          <wp14:sizeRelH relativeFrom="page">
            <wp14:pctWidth>0</wp14:pctWidth>
          </wp14:sizeRelH>
          <wp14:sizeRelV relativeFrom="page">
            <wp14:pctHeight>0</wp14:pctHeight>
          </wp14:sizeRelV>
        </wp:anchor>
      </w:drawing>
    </w:r>
    <w:r>
      <w:t xml:space="preserve">         </w:t>
    </w:r>
    <w:r>
      <w:tab/>
    </w:r>
    <w:r>
      <w:tab/>
    </w:r>
    <w:r>
      <w:tab/>
    </w:r>
    <w:r w:rsidRPr="00A96B16">
      <w:rPr>
        <w:rFonts w:ascii="Titillium Web SemiBold" w:hAnsi="Titillium Web SemiBold"/>
      </w:rPr>
      <w:t xml:space="preserve">                                    </w:t>
    </w:r>
    <w:r>
      <w:rPr>
        <w:rFonts w:ascii="Titillium Web SemiBold" w:hAnsi="Titillium Web SemiBold"/>
      </w:rPr>
      <w:t xml:space="preserve">                                       </w:t>
    </w:r>
    <w:r>
      <w:rPr>
        <w:rFonts w:ascii="Titillium Web SemiBold" w:hAnsi="Titillium Web SemiBold"/>
      </w:rPr>
      <w:t>Agentic AI</w:t>
    </w:r>
    <w:r>
      <w:rPr>
        <w:rFonts w:ascii="Titillium Web SemiBold" w:hAnsi="Titillium Web SemiBold"/>
      </w:rPr>
      <w:t xml:space="preserve"> Demo</w:t>
    </w:r>
    <w:r>
      <w:rPr>
        <w:rFonts w:ascii="Titillium Web SemiBold" w:hAnsi="Titillium Web SemiBold"/>
      </w:rPr>
      <w:t>L</w:t>
    </w:r>
    <w:r>
      <w:rPr>
        <w:rFonts w:ascii="Titillium Web SemiBold" w:hAnsi="Titillium Web SemiBold"/>
      </w:rPr>
      <w:t>ab</w:t>
    </w:r>
    <w:r>
      <w:rPr>
        <w:rFonts w:ascii="Titillium Web SemiBold" w:hAnsi="Titillium Web SemiBold"/>
      </w:rPr>
      <w:t xml:space="preserve"> Guide</w:t>
    </w:r>
    <w:r>
      <w:rPr>
        <w:rFonts w:ascii="Titillium Web SemiBold" w:hAnsi="Titillium Web SemiBold"/>
      </w:rPr>
      <w:t xml:space="preserve"> </w:t>
    </w:r>
    <w:r w:rsidRPr="00E32888">
      <w:rPr>
        <w:b/>
        <w:color w:val="4B4B4B"/>
      </w:rPr>
      <w:t>version</w:t>
    </w:r>
    <w:r w:rsidRPr="006A3EBA">
      <w:rPr>
        <w:b/>
        <w:color w:val="4B4B4B"/>
      </w:rPr>
      <w:t xml:space="preserve"> </w:t>
    </w:r>
    <w:sdt>
      <w:sdtPr>
        <w:rPr>
          <w:b/>
          <w:color w:val="4B4B4B"/>
        </w:rPr>
        <w:alias w:val="Status"/>
        <w:tag w:val=""/>
        <w:id w:val="1933081357"/>
        <w:showingPlcHdr/>
        <w:dataBinding w:prefixMappings="xmlns:ns0='http://purl.org/dc/elements/1.1/' xmlns:ns1='http://schemas.openxmlformats.org/package/2006/metadata/core-properties' " w:xpath="/ns1:coreProperties[1]/ns1:contentStatus[1]" w:storeItemID="{6C3C8BC8-F283-45AE-878A-BAB7291924A1}"/>
        <w:text/>
      </w:sdtPr>
      <w:sdtEndPr/>
      <w:sdtContent>
        <w:r w:rsidR="00F62D7D">
          <w:rPr>
            <w:b/>
            <w:color w:val="4B4B4B"/>
          </w:rPr>
          <w:t xml:space="preserve">     </w:t>
        </w:r>
      </w:sdtContent>
    </w:sdt>
    <w:r w:rsidRPr="006A3EBA">
      <w:rPr>
        <w:b/>
        <w:color w:val="4B4B4B"/>
      </w:rPr>
      <w:t xml:space="preserve">, </w:t>
    </w:r>
    <w:r w:rsidRPr="006A3EBA">
      <w:rPr>
        <w:i/>
        <w:iCs/>
        <w:color w:val="4B4B4B"/>
      </w:rPr>
      <w:fldChar w:fldCharType="begin"/>
    </w:r>
    <w:r w:rsidRPr="006A3EBA">
      <w:rPr>
        <w:i/>
        <w:iCs/>
        <w:color w:val="4B4B4B"/>
      </w:rPr>
      <w:instrText xml:space="preserve"> DATE  \@ "MMMM d, yyyy"  \* MERGEFORMAT </w:instrText>
    </w:r>
    <w:r w:rsidRPr="006A3EBA">
      <w:rPr>
        <w:i/>
        <w:iCs/>
        <w:color w:val="4B4B4B"/>
      </w:rPr>
      <w:fldChar w:fldCharType="separate"/>
    </w:r>
    <w:r w:rsidR="00F62D7D">
      <w:rPr>
        <w:i/>
        <w:iCs/>
        <w:noProof/>
        <w:color w:val="4B4B4B"/>
      </w:rPr>
      <w:t>June 8, 2026</w:t>
    </w:r>
    <w:r w:rsidRPr="006A3EBA">
      <w:rPr>
        <w:i/>
        <w:iCs/>
        <w:color w:val="4B4B4B"/>
      </w:rPr>
      <w:fldChar w:fldCharType="end"/>
    </w:r>
    <w:r>
      <w:rPr>
        <w:i/>
        <w:iCs/>
        <w:color w:val="4B4B4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A024C1" w14:textId="77777777" w:rsidR="007A52C0" w:rsidRDefault="007A52C0">
      <w:pPr>
        <w:spacing w:after="0" w:line="240" w:lineRule="auto"/>
      </w:pPr>
      <w:r>
        <w:separator/>
      </w:r>
    </w:p>
  </w:footnote>
  <w:footnote w:type="continuationSeparator" w:id="0">
    <w:p w14:paraId="13D795B1" w14:textId="77777777" w:rsidR="007A52C0" w:rsidRDefault="007A52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C02FF" w14:textId="013E7865" w:rsidR="007A52C0" w:rsidRDefault="007A52C0" w:rsidP="00591E18">
    <w:pPr>
      <w:pStyle w:val="Header"/>
    </w:pPr>
    <w:r>
      <w:rPr>
        <w:rFonts w:hint="eastAsia"/>
        <w:noProof/>
      </w:rPr>
      <w:drawing>
        <wp:anchor distT="0" distB="0" distL="114300" distR="114300" simplePos="0" relativeHeight="251662338" behindDoc="1" locked="0" layoutInCell="1" allowOverlap="1" wp14:anchorId="091F6062" wp14:editId="0276AD36">
          <wp:simplePos x="0" y="0"/>
          <wp:positionH relativeFrom="page">
            <wp:posOffset>14605</wp:posOffset>
          </wp:positionH>
          <wp:positionV relativeFrom="paragraph">
            <wp:posOffset>-426111</wp:posOffset>
          </wp:positionV>
          <wp:extent cx="186690" cy="13455015"/>
          <wp:effectExtent l="0" t="0" r="3810" b="0"/>
          <wp:wrapNone/>
          <wp:docPr id="2028407727" name="Picture 2028407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186690" cy="13455015"/>
                  </a:xfrm>
                  <a:prstGeom prst="rect">
                    <a:avLst/>
                  </a:prstGeom>
                </pic:spPr>
              </pic:pic>
            </a:graphicData>
          </a:graphic>
          <wp14:sizeRelH relativeFrom="page">
            <wp14:pctWidth>0</wp14:pctWidth>
          </wp14:sizeRelH>
          <wp14:sizeRelV relativeFrom="page">
            <wp14:pctHeight>0</wp14:pctHeight>
          </wp14:sizeRelV>
        </wp:anchor>
      </w:drawing>
    </w:r>
    <w:r>
      <w:rPr>
        <w:rFonts w:hint="eastAsia"/>
        <w:noProof/>
      </w:rPr>
      <w:drawing>
        <wp:anchor distT="0" distB="0" distL="114300" distR="114300" simplePos="0" relativeHeight="251660290" behindDoc="1" locked="0" layoutInCell="1" allowOverlap="1" wp14:anchorId="4EA9A07C" wp14:editId="18F9AD7C">
          <wp:simplePos x="0" y="0"/>
          <wp:positionH relativeFrom="margin">
            <wp:posOffset>-943661</wp:posOffset>
          </wp:positionH>
          <wp:positionV relativeFrom="page">
            <wp:posOffset>6883</wp:posOffset>
          </wp:positionV>
          <wp:extent cx="7775575" cy="1264920"/>
          <wp:effectExtent l="0" t="0" r="0" b="0"/>
          <wp:wrapNone/>
          <wp:docPr id="52828698" name="Picture 5282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81017" name="Picture 210781017"/>
                  <pic:cNvPicPr/>
                </pic:nvPicPr>
                <pic:blipFill>
                  <a:blip r:embed="rId2"/>
                  <a:stretch>
                    <a:fillRect/>
                  </a:stretch>
                </pic:blipFill>
                <pic:spPr>
                  <a:xfrm>
                    <a:off x="0" y="0"/>
                    <a:ext cx="7775575" cy="1264920"/>
                  </a:xfrm>
                  <a:prstGeom prst="rect">
                    <a:avLst/>
                  </a:prstGeom>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Pr>
        <w:rFonts w:hint="eastAsia"/>
        <w:noProof/>
        <w:lang w:bidi="he-IL"/>
      </w:rPr>
      <mc:AlternateContent>
        <mc:Choice Requires="wps">
          <w:drawing>
            <wp:anchor distT="0" distB="0" distL="114300" distR="114300" simplePos="0" relativeHeight="251658240" behindDoc="0" locked="0" layoutInCell="1" allowOverlap="1" wp14:anchorId="3505E577" wp14:editId="29202A84">
              <wp:simplePos x="0" y="0"/>
              <wp:positionH relativeFrom="margin">
                <wp:posOffset>2136775</wp:posOffset>
              </wp:positionH>
              <wp:positionV relativeFrom="paragraph">
                <wp:posOffset>111188</wp:posOffset>
              </wp:positionV>
              <wp:extent cx="4197427" cy="520226"/>
              <wp:effectExtent l="0" t="0" r="12700" b="13335"/>
              <wp:wrapNone/>
              <wp:docPr id="9" name="Text Box 9"/>
              <wp:cNvGraphicFramePr/>
              <a:graphic xmlns:a="http://schemas.openxmlformats.org/drawingml/2006/main">
                <a:graphicData uri="http://schemas.microsoft.com/office/word/2010/wordprocessingShape">
                  <wps:wsp>
                    <wps:cNvSpPr txBox="1"/>
                    <wps:spPr>
                      <a:xfrm>
                        <a:off x="0" y="0"/>
                        <a:ext cx="4197427" cy="520226"/>
                      </a:xfrm>
                      <a:prstGeom prst="rect">
                        <a:avLst/>
                      </a:prstGeom>
                      <a:noFill/>
                      <a:ln>
                        <a:noFill/>
                      </a:ln>
                      <a:effectLst/>
                      <a:extLst>
                        <a:ext uri="{FAA26D3D-D897-4be2-8F04-BA451C77F1D7}">
                          <ma14:placeholderFlag xmlns:pic="http://schemas.openxmlformats.org/drawingml/2006/picture" xmlns:asvg="http://schemas.microsoft.com/office/drawing/2016/SVG/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 uri="{C572A759-6A51-4108-AA02-DFA0A04FC94B}">
                          <ma14:wrappingTextBoxFlag xmlns:pic="http://schemas.openxmlformats.org/drawingml/2006/picture" xmlns:asvg="http://schemas.microsoft.com/office/drawing/2016/SVG/main"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wps:spPr>
                    <wps:style>
                      <a:lnRef idx="0">
                        <a:schemeClr val="accent1"/>
                      </a:lnRef>
                      <a:fillRef idx="0">
                        <a:schemeClr val="accent1"/>
                      </a:fillRef>
                      <a:effectRef idx="0">
                        <a:schemeClr val="accent1"/>
                      </a:effectRef>
                      <a:fontRef idx="minor">
                        <a:schemeClr val="dk1"/>
                      </a:fontRef>
                    </wps:style>
                    <wps:txbx>
                      <w:txbxContent>
                        <w:p w14:paraId="30AAA14E" w14:textId="77777777" w:rsidR="007A52C0" w:rsidRPr="000E46A6" w:rsidRDefault="007A52C0" w:rsidP="00F77A7E">
                          <w:pPr>
                            <w:keepNext/>
                            <w:spacing w:line="288" w:lineRule="auto"/>
                            <w:outlineLvl w:val="1"/>
                            <w:rPr>
                              <w:rFonts w:ascii="Titillium Web Bold" w:hAnsi="Titillium Web Bold"/>
                            </w:rPr>
                          </w:pPr>
                          <w:r>
                            <w:rPr>
                              <w:rFonts w:ascii="Titillium Web Bold" w:hAnsi="Titillium Web Bold"/>
                            </w:rPr>
                            <w:t>Agentic ai</w:t>
                          </w:r>
                          <w:r w:rsidRPr="000E46A6">
                            <w:rPr>
                              <w:rFonts w:ascii="Titillium Web Bold" w:hAnsi="Titillium Web Bold"/>
                            </w:rPr>
                            <w:t xml:space="preserve"> Demo</w:t>
                          </w:r>
                          <w:r w:rsidRPr="000E46A6">
                            <w:rPr>
                              <w:rFonts w:ascii="Titillium Web Bold" w:hAnsi="Titillium Web Bold"/>
                            </w:rPr>
                            <w:t>lab</w:t>
                          </w:r>
                          <w:r w:rsidRPr="000E46A6">
                            <w:rPr>
                              <w:rFonts w:ascii="Titillium Web Bold" w:hAnsi="Titillium Web Bold"/>
                            </w:rPr>
                            <w:t xml:space="preserve"> Guide</w:t>
                          </w:r>
                        </w:p>
                      </w:txbxContent>
                    </wps:txbx>
                    <wps:bodyPr rot="0" spcFirstLastPara="0" vertOverflow="overflow" horzOverflow="overflow" vert="horz" wrap="square" lIns="9144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05E577" id="_x0000_t202" coordsize="21600,21600" o:spt="202" path="m,l,21600r21600,l21600,xe">
              <v:stroke joinstyle="miter"/>
              <v:path gradientshapeok="t" o:connecttype="rect"/>
            </v:shapetype>
            <v:shape id="Text Box 9" o:spid="_x0000_s1026" type="#_x0000_t202" style="position:absolute;margin-left:168.25pt;margin-top:8.75pt;width:330.5pt;height:40.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" filled="f" stroked="f">
              <v:textbox inset=",0,0,0">
                <w:txbxContent>
                  <w:p w14:paraId="30AAA14E" w14:textId="77777777" w:rsidR="007A52C0" w:rsidRPr="000E46A6" w:rsidRDefault="007A52C0" w:rsidP="00F77A7E">
                    <w:pPr>
                      <w:keepNext/>
                      <w:spacing w:line="288" w:lineRule="auto"/>
                      <w:outlineLvl w:val="1"/>
                      <w:rPr>
                        <w:rFonts w:ascii="Titillium Web Bold" w:hAnsi="Titillium Web Bold"/>
                      </w:rPr>
                    </w:pPr>
                    <w:r>
                      <w:rPr>
                        <w:rFonts w:ascii="Titillium Web Bold" w:hAnsi="Titillium Web Bold"/>
                      </w:rPr>
                      <w:t>Agentic ai</w:t>
                    </w:r>
                    <w:r w:rsidRPr="000E46A6">
                      <w:rPr>
                        <w:rFonts w:ascii="Titillium Web Bold" w:hAnsi="Titillium Web Bold"/>
                      </w:rPr>
                      <w:t xml:space="preserve"> Demo</w:t>
                    </w:r>
                    <w:r w:rsidRPr="000E46A6">
                      <w:rPr>
                        <w:rFonts w:ascii="Titillium Web Bold" w:hAnsi="Titillium Web Bold"/>
                      </w:rPr>
                      <w:t>lab</w:t>
                    </w:r>
                    <w:r w:rsidRPr="000E46A6">
                      <w:rPr>
                        <w:rFonts w:ascii="Titillium Web Bold" w:hAnsi="Titillium Web Bold"/>
                      </w:rPr>
                      <w:t xml:space="preserve"> Guide</w:t>
                    </w:r>
                  </w:p>
                </w:txbxContent>
              </v:textbox>
              <w10:wrap anchorx="margin"/>
            </v:shape>
          </w:pict>
        </mc:Fallback>
      </mc:AlternateContent>
    </w:r>
    <w:r>
      <w:rPr>
        <w:rFonts w:hint="eastAsia"/>
        <w:noProof/>
        <w:lang w:bidi="he-IL"/>
      </w:rPr>
      <w:drawing>
        <wp:anchor distT="0" distB="0" distL="114300" distR="114300" simplePos="0" relativeHeight="251658241" behindDoc="1" locked="0" layoutInCell="1" allowOverlap="1" wp14:anchorId="05EC27EB" wp14:editId="4FC41E2A">
          <wp:simplePos x="0" y="0"/>
          <wp:positionH relativeFrom="column">
            <wp:posOffset>-8255</wp:posOffset>
          </wp:positionH>
          <wp:positionV relativeFrom="paragraph">
            <wp:posOffset>135255</wp:posOffset>
          </wp:positionV>
          <wp:extent cx="1581150" cy="260985"/>
          <wp:effectExtent l="0" t="0" r="6350" b="5715"/>
          <wp:wrapNone/>
          <wp:docPr id="293251844" name="Graphic 29325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3">
                    <a:extLst>
                      <a:ext uri="{96DAC541-7B7A-43D3-8B79-37D633B846F1}">
                        <asvg:svgBlip xmlns:asvg="http://schemas.microsoft.com/office/drawing/2016/SVG/main" r:embed="rId4"/>
                      </a:ext>
                    </a:extLst>
                  </a:blip>
                  <a:stretch>
                    <a:fillRect/>
                  </a:stretch>
                </pic:blipFill>
                <pic:spPr>
                  <a:xfrm>
                    <a:off x="0" y="0"/>
                    <a:ext cx="1581150" cy="260985"/>
                  </a:xfrm>
                  <a:prstGeom prst="rect">
                    <a:avLst/>
                  </a:prstGeom>
                </pic:spPr>
              </pic:pic>
            </a:graphicData>
          </a:graphic>
          <wp14:sizeRelH relativeFrom="page">
            <wp14:pctWidth>0</wp14:pctWidth>
          </wp14:sizeRelH>
          <wp14:sizeRelV relativeFrom="page">
            <wp14:pctHeight>0</wp14:pctHeight>
          </wp14:sizeRelV>
        </wp:anchor>
      </w:drawing>
    </w:r>
  </w:p>
  <w:p w14:paraId="55ABC23C" w14:textId="7D24A0EC" w:rsidR="007A52C0" w:rsidRDefault="007A52C0" w:rsidP="00591E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929500">
    <w:abstractNumId w:val="8"/>
  </w:num>
  <w:num w:numId="2" w16cid:durableId="410931331">
    <w:abstractNumId w:val="6"/>
  </w:num>
  <w:num w:numId="3" w16cid:durableId="1112044608">
    <w:abstractNumId w:val="5"/>
  </w:num>
  <w:num w:numId="4" w16cid:durableId="1572807689">
    <w:abstractNumId w:val="4"/>
  </w:num>
  <w:num w:numId="5" w16cid:durableId="1049961473">
    <w:abstractNumId w:val="7"/>
  </w:num>
  <w:num w:numId="6" w16cid:durableId="465439702">
    <w:abstractNumId w:val="3"/>
  </w:num>
  <w:num w:numId="7" w16cid:durableId="1639916134">
    <w:abstractNumId w:val="2"/>
  </w:num>
  <w:num w:numId="8" w16cid:durableId="781799030">
    <w:abstractNumId w:val="1"/>
  </w:num>
  <w:num w:numId="9" w16cid:durableId="89885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89"/>
    <w:rsid w:val="00127DA6"/>
    <w:rsid w:val="0015074B"/>
    <w:rsid w:val="0029639D"/>
    <w:rsid w:val="00326F90"/>
    <w:rsid w:val="00331AAF"/>
    <w:rsid w:val="00342CA3"/>
    <w:rsid w:val="00347CEA"/>
    <w:rsid w:val="004E0525"/>
    <w:rsid w:val="00580173"/>
    <w:rsid w:val="00604689"/>
    <w:rsid w:val="00631D35"/>
    <w:rsid w:val="00632809"/>
    <w:rsid w:val="007A52C0"/>
    <w:rsid w:val="00AA1D8D"/>
    <w:rsid w:val="00B47730"/>
    <w:rsid w:val="00C74030"/>
    <w:rsid w:val="00C850F8"/>
    <w:rsid w:val="00CB0664"/>
    <w:rsid w:val="00E86214"/>
    <w:rsid w:val="00F62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ACD5E"/>
  <w14:defaultImageDpi w14:val="300"/>
  <w15:docId w15:val="{398F95BF-B8EB-447E-8901-600DF5C4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tillium Web Light" w:eastAsia="Titillium Web Light" w:hAnsi="Titillium Web Light"/>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ind w:left="360"/>
      <w:outlineLvl w:val="1"/>
    </w:pPr>
    <w:rPr>
      <w:rFonts w:asciiTheme="majorHAnsi" w:eastAsiaTheme="majorEastAsia" w:hAnsiTheme="majorHAnsi" w:cstheme="majorBidi"/>
      <w:b/>
      <w:bCs/>
      <w:color w:val="000000"/>
      <w:sz w:val="3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rdwr-seanr/openclaw-radware-agentic-protection"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npmjs.com/package/openclaw-radware-agentic-protection"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dwr-seanr/openclaw-radware-agentic-protection"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pmjs.com/package/openclaw-radware-agentic-protection"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1255981-6755-4c52-9a2b-a2a4eb12bdb4">
      <Terms xmlns="http://schemas.microsoft.com/office/infopath/2007/PartnerControls"/>
    </lcf76f155ced4ddcb4097134ff3c332f>
    <TaxCatchAll xmlns="5a11ba31-b591-4284-bc20-d3af18f58e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E3B37E91147C940B277AC882D52F4C1" ma:contentTypeVersion="17" ma:contentTypeDescription="Create a new document." ma:contentTypeScope="" ma:versionID="1844d4775b2634915f5bb1c6b024964d">
  <xsd:schema xmlns:xsd="http://www.w3.org/2001/XMLSchema" xmlns:xs="http://www.w3.org/2001/XMLSchema" xmlns:p="http://schemas.microsoft.com/office/2006/metadata/properties" xmlns:ns2="31255981-6755-4c52-9a2b-a2a4eb12bdb4" xmlns:ns3="5a11ba31-b591-4284-bc20-d3af18f58e8e" targetNamespace="http://schemas.microsoft.com/office/2006/metadata/properties" ma:root="true" ma:fieldsID="2643bad7f811439c9062caf66ae5be06" ns2:_="" ns3:_="">
    <xsd:import namespace="31255981-6755-4c52-9a2b-a2a4eb12bdb4"/>
    <xsd:import namespace="5a11ba31-b591-4284-bc20-d3af18f58e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255981-6755-4c52-9a2b-a2a4eb12bd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934068f-5e52-48f8-a892-74a89a08a2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1ba31-b591-4284-bc20-d3af18f58e8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9d54fd9-47a6-4daf-a85f-5d1959b0c4d1}" ma:internalName="TaxCatchAll" ma:showField="CatchAllData" ma:web="5a11ba31-b591-4284-bc20-d3af18f58e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496E42-769B-4D8C-99CE-C0C1E966C421}">
  <ds:schemaRefs>
    <ds:schemaRef ds:uri="http://schemas.microsoft.com/office/2006/metadata/properties"/>
    <ds:schemaRef ds:uri="http://schemas.microsoft.com/office/infopath/2007/PartnerControls"/>
    <ds:schemaRef ds:uri="31255981-6755-4c52-9a2b-a2a4eb12bdb4"/>
    <ds:schemaRef ds:uri="5a11ba31-b591-4284-bc20-d3af18f58e8e"/>
  </ds:schemaRefs>
</ds:datastoreItem>
</file>

<file path=customXml/itemProps2.xml><?xml version="1.0" encoding="utf-8"?>
<ds:datastoreItem xmlns:ds="http://schemas.openxmlformats.org/officeDocument/2006/customXml" ds:itemID="{0E261B81-76A6-40DB-8433-0A009C0793E1}">
  <ds:schemaRefs>
    <ds:schemaRef ds:uri="http://schemas.microsoft.com/sharepoint/v3/contenttype/forms"/>
  </ds:schemaRefs>
</ds:datastoreItem>
</file>

<file path=customXml/itemProps3.xml><?xml version="1.0" encoding="utf-8"?>
<ds:datastoreItem xmlns:ds="http://schemas.openxmlformats.org/officeDocument/2006/customXml" ds:itemID="{A9E3CDE8-413F-47B7-B84F-D929F6CC76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255981-6755-4c52-9a2b-a2a4eb12bdb4"/>
    <ds:schemaRef ds:uri="5a11ba31-b591-4284-bc20-d3af18f58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7</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Ramati</cp:lastModifiedBy>
  <cp:revision>7</cp:revision>
  <dcterms:created xsi:type="dcterms:W3CDTF">2013-12-23T23:15:00Z</dcterms:created>
  <dcterms:modified xsi:type="dcterms:W3CDTF">2026-06-08T06:15:00Z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0x0101006E3B37E91147C940B277AC882D52F4C1</vt:lpwstr>
  </property>
  <property fmtid="{D5CDD505-2E9C-101B-9397-08002B2CF9AE}" pid="3" name="MediaServiceImageTags">
    <vt:lpwstr/>
  </property>
</Properties>
</file>