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The Blueprint Project — Documentation Hub</w:t>
      </w:r>
    </w:p>
    <w:p>
      <w:pPr>
        <w:ind w:left="720" w:right="720"/>
      </w:pPr>
      <w:r>
        <w:rPr>
          <w:i/>
          <w:color w:val="5D6B80"/>
        </w:rPr>
        <w:t>**Single source of truth for the team, advisors, future contributors, lawyers, and future-us.**</w:t>
      </w:r>
    </w:p>
    <w:p>
      <w:r>
        <w:t>This folder mirrors the structure of a Google Drive. Each document is provided in two formats:</w:t>
      </w:r>
    </w:p>
    <w:p>
      <w:pPr>
        <w:pStyle w:val="ListNumber"/>
      </w:pPr>
      <w:r>
        <w:rPr>
          <w:b/>
        </w:rPr>
        <w:t>Markdown (`.md`)</w:t>
      </w:r>
      <w:r>
        <w:t xml:space="preserve"> — fast, version-controllable, lives in the repo</w:t>
      </w:r>
    </w:p>
    <w:p>
      <w:pPr>
        <w:pStyle w:val="ListNumber"/>
      </w:pPr>
      <w:r>
        <w:rPr>
          <w:b/>
        </w:rPr>
        <w:t>Word (`.docx`)</w:t>
      </w:r>
      <w:r>
        <w:t xml:space="preserve"> — printable, easy to share, lawyer-friendly</w:t>
      </w:r>
    </w:p>
    <w:p>
      <w:r>
        <w:t xml:space="preserve">If you need to convert these to Google Docs, upload the </w:t>
      </w:r>
      <w:r>
        <w:rPr>
          <w:rFonts w:ascii="Consolas" w:hAnsi="Consolas"/>
          <w:sz w:val="20"/>
        </w:rPr>
        <w:t>.docx</w:t>
      </w:r>
      <w:r>
        <w:t xml:space="preserve"> files directly to Google Drive — they import cleanly.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`Overview.md`</w:t>
            </w:r>
          </w:p>
        </w:tc>
        <w:tc>
          <w:tcPr>
            <w:tcW w:type="dxa" w:w="2160"/>
          </w:tcPr>
          <w:p>
            <w:r>
              <w:t>Everyone</w:t>
            </w:r>
          </w:p>
        </w:tc>
        <w:tc>
          <w:tcPr>
            <w:tcW w:type="dxa" w:w="2160"/>
          </w:tcPr>
          <w:p>
            <w:r>
              <w:t>One-page brief: what Blueprint is, who's it for, where it lives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`Team-Roles.md`</w:t>
            </w:r>
          </w:p>
        </w:tc>
        <w:tc>
          <w:tcPr>
            <w:tcW w:type="dxa" w:w="2160"/>
          </w:tcPr>
          <w:p>
            <w:r>
              <w:t>Future team</w:t>
            </w:r>
          </w:p>
        </w:tc>
        <w:tc>
          <w:tcPr>
            <w:tcW w:type="dxa" w:w="2160"/>
          </w:tcPr>
          <w:p>
            <w:r>
              <w:t>Every role a student-led org like this needs, with job descriptions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`Product-Requirements-Document.md`</w:t>
            </w:r>
          </w:p>
        </w:tc>
        <w:tc>
          <w:tcPr>
            <w:tcW w:type="dxa" w:w="2160"/>
          </w:tcPr>
          <w:p>
            <w:r>
              <w:t>Builders</w:t>
            </w:r>
          </w:p>
        </w:tc>
        <w:tc>
          <w:tcPr>
            <w:tcW w:type="dxa" w:w="2160"/>
          </w:tcPr>
          <w:p>
            <w:r>
              <w:t>Full PRD: problem, solution, features, success metrics, roadmap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`Data-and-Verification.md`</w:t>
            </w:r>
          </w:p>
        </w:tc>
        <w:tc>
          <w:tcPr>
            <w:tcW w:type="dxa" w:w="2160"/>
          </w:tcPr>
          <w:p>
            <w:r>
              <w:t>Researchers, advisors</w:t>
            </w:r>
          </w:p>
        </w:tc>
        <w:tc>
          <w:tcPr>
            <w:tcW w:type="dxa" w:w="2160"/>
          </w:tcPr>
          <w:p>
            <w:r>
              <w:t>Where 2,418 opportunities come from, how they're verified, when they refresh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`Terms-of-Service.md`</w:t>
            </w:r>
          </w:p>
        </w:tc>
        <w:tc>
          <w:tcPr>
            <w:tcW w:type="dxa" w:w="2160"/>
          </w:tcPr>
          <w:p>
            <w:r>
              <w:t>Users, lawyer</w:t>
            </w:r>
          </w:p>
        </w:tc>
        <w:tc>
          <w:tcPr>
            <w:tcW w:type="dxa" w:w="2160"/>
          </w:tcPr>
          <w:p>
            <w:r>
              <w:t>The rules that govern use of the directory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`Privacy-Policy.md`</w:t>
            </w:r>
          </w:p>
        </w:tc>
        <w:tc>
          <w:tcPr>
            <w:tcW w:type="dxa" w:w="2160"/>
          </w:tcPr>
          <w:p>
            <w:r>
              <w:t>Users, lawyer</w:t>
            </w:r>
          </w:p>
        </w:tc>
        <w:tc>
          <w:tcPr>
            <w:tcW w:type="dxa" w:w="2160"/>
          </w:tcPr>
          <w:p>
            <w:r>
              <w:t>What data we collect, what we don't, your rights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`Cookies-Policy.md`</w:t>
            </w:r>
          </w:p>
        </w:tc>
        <w:tc>
          <w:tcPr>
            <w:tcW w:type="dxa" w:w="2160"/>
          </w:tcPr>
          <w:p>
            <w:r>
              <w:t>Users, lawyer</w:t>
            </w:r>
          </w:p>
        </w:tc>
        <w:tc>
          <w:tcPr>
            <w:tcW w:type="dxa" w:w="2160"/>
          </w:tcPr>
          <w:p>
            <w:r>
              <w:t>Short statement: we don't use cookies, only local storage</w:t>
            </w:r>
          </w:p>
        </w:tc>
      </w:tr>
      <w:tr>
        <w:tc>
          <w:tcPr>
            <w:tcW w:type="dxa" w:w="2160"/>
          </w:tcPr>
          <w:p>
            <w:r>
              <w:t>08</w:t>
            </w:r>
          </w:p>
        </w:tc>
        <w:tc>
          <w:tcPr>
            <w:tcW w:type="dxa" w:w="2160"/>
          </w:tcPr>
          <w:p>
            <w:r>
              <w:t>`Brand-and-Contact.md`</w:t>
            </w:r>
          </w:p>
        </w:tc>
        <w:tc>
          <w:tcPr>
            <w:tcW w:type="dxa" w:w="2160"/>
          </w:tcPr>
          <w:p>
            <w:r>
              <w:t>Designers, partners</w:t>
            </w:r>
          </w:p>
        </w:tc>
        <w:tc>
          <w:tcPr>
            <w:tcW w:type="dxa" w:w="2160"/>
          </w:tcPr>
          <w:p>
            <w:r>
              <w:t>Visual identity, social handles, contact, domain</w:t>
            </w:r>
          </w:p>
        </w:tc>
      </w:tr>
    </w:tbl>
    <w:p/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Quick facts about Blueprint</w:t>
      </w:r>
    </w:p>
    <w:p>
      <w:pPr>
        <w:pStyle w:val="ListBullet"/>
      </w:pPr>
      <w:r>
        <w:rPr>
          <w:b/>
        </w:rPr>
        <w:t>Name:</w:t>
      </w:r>
      <w:r>
        <w:t xml:space="preserve"> The Blueprint Project</w:t>
      </w:r>
    </w:p>
    <w:p>
      <w:pPr>
        <w:pStyle w:val="ListBullet"/>
      </w:pPr>
      <w:r>
        <w:rPr>
          <w:b/>
        </w:rPr>
        <w:t>Domain:</w:t>
      </w:r>
      <w:r>
        <w:t xml:space="preserve"> blueprintproject.app</w:t>
      </w:r>
    </w:p>
    <w:p>
      <w:pPr>
        <w:pStyle w:val="ListBullet"/>
      </w:pPr>
      <w:r>
        <w:rPr>
          <w:b/>
        </w:rPr>
        <w:t>Founded:</w:t>
      </w:r>
      <w:r>
        <w:t xml:space="preserve"> 2026</w:t>
      </w:r>
    </w:p>
    <w:p>
      <w:pPr>
        <w:pStyle w:val="ListBullet"/>
      </w:pPr>
      <w:r>
        <w:rPr>
          <w:b/>
        </w:rPr>
        <w:t>Audience:</w:t>
      </w:r>
      <w:r>
        <w:t xml:space="preserve"> US + international high school students (grades 9–12) and the educators/parents who advise them</w:t>
      </w:r>
    </w:p>
    <w:p>
      <w:pPr>
        <w:pStyle w:val="ListBullet"/>
      </w:pPr>
      <w:r>
        <w:rPr>
          <w:b/>
        </w:rPr>
        <w:t>Scale:</w:t>
      </w:r>
      <w:r>
        <w:t xml:space="preserve"> 2,400+ verified opportunities, 50+ fields, free to use</w:t>
      </w:r>
    </w:p>
    <w:p>
      <w:pPr>
        <w:pStyle w:val="ListBullet"/>
      </w:pPr>
      <w:r>
        <w:rPr>
          <w:b/>
        </w:rPr>
        <w:t>Business model:</w:t>
      </w:r>
      <w:r>
        <w:t xml:space="preserve"> Free, no paid tiers, no ads</w:t>
      </w:r>
    </w:p>
    <w:p>
      <w:pPr>
        <w:pStyle w:val="ListBullet"/>
      </w:pPr>
      <w:r>
        <w:rPr>
          <w:b/>
        </w:rPr>
        <w:t>Contact:</w:t>
      </w:r>
      <w:r>
        <w:t xml:space="preserve"> contact@blueprintproject.app</w:t>
      </w:r>
    </w:p>
    <w:p>
      <w:pPr>
        <w:pStyle w:val="ListBullet"/>
      </w:pPr>
      <w:r>
        <w:rPr>
          <w:b/>
        </w:rPr>
        <w:t>Social:</w:t>
      </w:r>
      <w:r>
        <w:t xml:space="preserve"> @blueprintproject.app on Instagram and TikTok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How this is maintained</w:t>
      </w:r>
    </w:p>
    <w:p>
      <w:pPr>
        <w:pStyle w:val="ListBullet"/>
      </w:pPr>
      <w:r>
        <w:rPr>
          <w:b/>
        </w:rPr>
        <w:t>Owner:</w:t>
      </w:r>
      <w:r>
        <w:t xml:space="preserve"> the founder (currently you)</w:t>
      </w:r>
    </w:p>
    <w:p>
      <w:pPr>
        <w:pStyle w:val="ListBullet"/>
      </w:pPr>
      <w:r>
        <w:rPr>
          <w:b/>
        </w:rPr>
        <w:t>Cadence:</w:t>
      </w:r>
      <w:r>
        <w:t xml:space="preserve"> Reviewed quarterly, updated whenever a major feature ships or a legal requirement changes</w:t>
      </w:r>
    </w:p>
    <w:p>
      <w:pPr>
        <w:pStyle w:val="ListBullet"/>
      </w:pPr>
      <w:r>
        <w:rPr>
          <w:b/>
        </w:rPr>
        <w:t>Source of truth:</w:t>
      </w:r>
      <w:r>
        <w:t xml:space="preserve"> the </w:t>
      </w:r>
      <w:r>
        <w:rPr>
          <w:rFonts w:ascii="Consolas" w:hAnsi="Consolas"/>
          <w:sz w:val="20"/>
        </w:rPr>
        <w:t>.md</w:t>
      </w:r>
      <w:r>
        <w:t xml:space="preserve"> files in this folder. The </w:t>
      </w:r>
      <w:r>
        <w:rPr>
          <w:rFonts w:ascii="Consolas" w:hAnsi="Consolas"/>
          <w:sz w:val="20"/>
        </w:rPr>
        <w:t>.docx</w:t>
      </w:r>
      <w:r>
        <w:t xml:space="preserve"> files are generated; regenerate them after editing the </w:t>
      </w:r>
      <w:r>
        <w:rPr>
          <w:rFonts w:ascii="Consolas" w:hAnsi="Consolas"/>
          <w:sz w:val="20"/>
        </w:rPr>
        <w:t>.md</w:t>
      </w:r>
      <w:r>
        <w:t xml:space="preserve"> (instructions below).</w:t>
      </w:r>
    </w:p>
    <w:p>
      <w:pPr>
        <w:pStyle w:val="ListBullet"/>
      </w:pPr>
      <w:r>
        <w:rPr>
          <w:b/>
        </w:rPr>
        <w:t>Public version:</w:t>
      </w:r>
      <w:r>
        <w:t xml:space="preserve"> </w:t>
      </w:r>
      <w:r>
        <w:rPr>
          <w:rFonts w:ascii="Consolas" w:hAnsi="Consolas"/>
          <w:sz w:val="20"/>
        </w:rPr>
        <w:t>/privacy</w:t>
      </w:r>
      <w:r>
        <w:t xml:space="preserve">, </w:t>
      </w:r>
      <w:r>
        <w:rPr>
          <w:rFonts w:ascii="Consolas" w:hAnsi="Consolas"/>
          <w:sz w:val="20"/>
        </w:rPr>
        <w:t>/terms</w:t>
      </w:r>
      <w:r>
        <w:t xml:space="preserve">, and (new) </w:t>
      </w:r>
      <w:r>
        <w:rPr>
          <w:rFonts w:ascii="Consolas" w:hAnsi="Consolas"/>
          <w:sz w:val="20"/>
        </w:rPr>
        <w:t>/cookies</w:t>
      </w:r>
      <w:r>
        <w:t xml:space="preserve"> pages on the site reflect the legal docs.</w:t>
      </w:r>
    </w:p>
    <w:p>
      <w:pPr>
        <w:pStyle w:val="Heading2"/>
      </w:pPr>
      <w:r>
        <w:rPr>
          <w:color w:val="1B2A4A"/>
        </w:rPr>
        <w:t>Regenerating the Word files</w:t>
      </w:r>
    </w:p>
    <w:p>
      <w:r>
        <w:t xml:space="preserve">From the </w:t>
      </w:r>
      <w:r>
        <w:rPr>
          <w:rFonts w:ascii="Consolas" w:hAnsi="Consolas"/>
          <w:sz w:val="20"/>
        </w:rPr>
        <w:t>Mark 20</w:t>
      </w:r>
      <w:r>
        <w:t xml:space="preserve"> folder, run:</w:t>
      </w:r>
    </w:p>
    <w:p>
      <w:pPr>
        <w:spacing w:before="120" w:after="120"/>
        <w:ind w:left="360"/>
      </w:pPr>
      <w:r>
        <w:rPr>
          <w:rFonts w:ascii="Consolas" w:hAnsi="Consolas"/>
          <w:color w:val="1B2A4A"/>
          <w:sz w:val="18"/>
        </w:rPr>
        <w:t>python scripts/build_docs.py</w:t>
      </w:r>
    </w:p>
    <w:p>
      <w:r>
        <w:t xml:space="preserve">This regenerates all </w:t>
      </w:r>
      <w:r>
        <w:rPr>
          <w:rFonts w:ascii="Consolas" w:hAnsi="Consolas"/>
          <w:sz w:val="20"/>
        </w:rPr>
        <w:t>.docx</w:t>
      </w:r>
      <w:r>
        <w:t xml:space="preserve"> files in </w:t>
      </w:r>
      <w:r>
        <w:rPr>
          <w:rFonts w:ascii="Consolas" w:hAnsi="Consolas"/>
          <w:sz w:val="20"/>
        </w:rPr>
        <w:t>docs/</w:t>
      </w:r>
      <w:r>
        <w:t xml:space="preserve"> from the </w:t>
      </w:r>
      <w:r>
        <w:rPr>
          <w:rFonts w:ascii="Consolas" w:hAnsi="Consolas"/>
          <w:sz w:val="20"/>
        </w:rPr>
        <w:t>.md</w:t>
      </w:r>
      <w:r>
        <w:t xml:space="preserve"> sources.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r>
        <w:rPr>
          <w:i/>
        </w:rPr>
        <w:t>Last updated: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