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D9E1E2" w:color="auto" w:val="clear"/>
            <w:tcMar>
              <w:top w:type="dxa" w:w="200"/>
              <w:left w:type="dxa" w:w="200"/>
              <w:bottom w:type="dxa" w:w="200"/>
              <w:right w:type="dxa" w:w="200"/>
            </w:tcMar>
            <w:vAlign w:val="center"/>
          </w:tcPr>
          <w:p>
            <w:pPr>
              <w:spacing w:after="0" w:before="0"/>
              <w:jc w:val="left"/>
            </w:pPr>
            <w:r>
              <w:drawing>
                <wp:inline distT="0" distB="0" distL="0" distR="0">
                  <wp:extent cx="18288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714375"/>
                          </a:xfrm>
                          <a:prstGeom prst="rect">
                            <a:avLst/>
                          </a:prstGeom>
                        </pic:spPr>
                      </pic:pic>
                    </a:graphicData>
                  </a:graphic>
                </wp:inline>
              </w:drawing>
            </w:r>
          </w:p>
        </w:tc>
      </w:tr>
    </w:tbl>
    <w:p>
      <w:pPr>
        <w:spacing w:after="400"/>
      </w:pPr>
      <w:r>
        <w:t xml:space="preserve"/>
      </w:r>
    </w:p>
    <w:p>
      <w:pPr>
        <w:spacing w:after="120" w:before="800"/>
      </w:pPr>
      <w:r>
        <w:rPr>
          <w:rFonts w:ascii="Arial" w:cs="Arial" w:eastAsia="Arial" w:hAnsi="Arial"/>
          <w:b/>
          <w:bCs/>
          <w:color w:val="17C662"/>
          <w:spacing w:val="40"/>
          <w:sz w:val="22"/>
          <w:szCs w:val="22"/>
        </w:rPr>
        <w:t xml:space="preserve">PROFESSIONAL SERVICES</w:t>
      </w:r>
    </w:p>
    <w:p>
      <w:pPr>
        <w:spacing w:after="120"/>
      </w:pPr>
      <w:r>
        <w:rPr>
          <w:rFonts w:ascii="Arial" w:cs="Arial" w:eastAsia="Arial" w:hAnsi="Arial"/>
          <w:b/>
          <w:bCs/>
          <w:color w:val="003B5C"/>
          <w:sz w:val="64"/>
          <w:szCs w:val="64"/>
        </w:rPr>
        <w:t xml:space="preserve">Statement of Work</w:t>
      </w:r>
    </w:p>
    <w:p>
      <w:pPr>
        <w:spacing w:after="80"/>
      </w:pPr>
      <w:r>
        <w:rPr>
          <w:rFonts w:ascii="Arial" w:cs="Arial" w:eastAsia="Arial" w:hAnsi="Arial"/>
          <w:color w:val="555555"/>
          <w:sz w:val="24"/>
          <w:szCs w:val="24"/>
        </w:rPr>
        <w:t xml:space="preserve">Prepared for</w:t>
      </w:r>
    </w:p>
    <w:p>
      <w:pPr>
        <w:spacing w:after="80"/>
      </w:pPr>
      <w:r>
        <w:rPr>
          <w:rFonts w:ascii="Arial" w:cs="Arial" w:eastAsia="Arial" w:hAnsi="Arial"/>
          <w:b/>
          <w:bCs/>
          <w:color w:val="003B5C"/>
          <w:sz w:val="40"/>
          <w:szCs w:val="40"/>
        </w:rPr>
        <w:t xml:space="preserve">NUTECH NATIONAL</w:t>
      </w:r>
    </w:p>
    <w:p>
      <w:pPr>
        <w:spacing w:after="600"/>
      </w:pPr>
      <w:r>
        <w:rPr>
          <w:rFonts w:ascii="Arial" w:cs="Arial" w:eastAsia="Arial" w:hAnsi="Arial"/>
          <w:i/>
          <w:iCs/>
          <w:color w:val="555555"/>
          <w:sz w:val="24"/>
          <w:szCs w:val="24"/>
        </w:rPr>
        <w:t xml:space="preserve">Zoom AI Virtual Agent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7C662"/>
                <w:sz w:val="16"/>
                <w:szCs w:val="16"/>
              </w:rPr>
              <w:t xml:space="preserve">PLATFORM</w:t>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7C662"/>
                <w:sz w:val="16"/>
                <w:szCs w:val="16"/>
              </w:rPr>
              <w:t xml:space="preserve">PREPARED BY</w:t>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7C662"/>
                <w:sz w:val="16"/>
                <w:szCs w:val="16"/>
              </w:rPr>
              <w:t xml:space="preserve">DATE</w:t>
            </w:r>
          </w:p>
        </w:tc>
      </w:tr>
      <w:tr>
        <w:trPr>
          <w:cantSplit/>
        </w:trPr>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Zoom — AI Virtual Agent</w:t>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Packet Fusion, Inc.</w:t>
            </w:r>
          </w:p>
        </w:tc>
        <w:tc>
          <w:tcPr>
            <w:tcW w:type="dxa" w:w="312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April 24, 2026</w:t>
            </w:r>
          </w:p>
        </w:tc>
      </w:tr>
    </w:tbl>
    <w:p>
      <w:pPr>
        <w:spacing w:after="400"/>
      </w:pPr>
      <w:r>
        <w:t xml:space="preserve"/>
      </w:r>
    </w:p>
    <w:p>
      <w:pPr>
        <w:pBdr>
          <w:top w:val="single" w:color="17C662" w:sz="8" w:space="8"/>
        </w:pBdr>
        <w:spacing w:after="120"/>
      </w:pPr>
      <w:r>
        <w:rPr>
          <w:rFonts w:ascii="Arial" w:cs="Arial" w:eastAsia="Arial" w:hAnsi="Arial"/>
          <w:sz w:val="2"/>
          <w:szCs w:val="2"/>
        </w:rPr>
        <w:t xml:space="preserve"> </w:t>
      </w:r>
    </w:p>
    <w:p>
      <w:pPr>
        <w:spacing w:after="0"/>
      </w:pPr>
      <w:r>
        <w:rPr>
          <w:rFonts w:ascii="Arial" w:cs="Arial" w:eastAsia="Arial" w:hAnsi="Arial"/>
          <w:b w:val="false"/>
          <w:bCs w:val="false"/>
          <w:i/>
          <w:iCs/>
          <w:color w:val="555555"/>
          <w:sz w:val="18"/>
          <w:szCs w:val="18"/>
        </w:rPr>
        <w:t xml:space="preserve">This Statement of Work ("SOW") is executed by Packet Fusion, Inc. ("Packet Fusion") and Nutech National ("Customer") pursuant to, and is subject to, the Packet Fusion Master Services Agreement executed by Customer and Packet Fusion. Capitalized terms used in this SOW but not otherwise defined shall have the respective meanings given to them in the Master Services Agreement.</w:t>
      </w:r>
    </w:p>
    <w:p>
      <w:r>
        <w:br w:type="page"/>
      </w:r>
    </w:p>
    <w:p>
      <w:pPr>
        <w:keepNext/>
        <w:keepLines/>
        <w:pBdr>
          <w:bottom w:val="single" w:color="17C662" w:sz="12" w:space="6"/>
        </w:pBdr>
        <w:spacing w:after="180" w:before="400"/>
      </w:pPr>
      <w:r>
        <w:rPr>
          <w:rFonts w:ascii="Arial" w:cs="Arial" w:eastAsia="Arial" w:hAnsi="Arial"/>
          <w:b/>
          <w:bCs/>
          <w:color w:val="003B5C"/>
          <w:sz w:val="32"/>
          <w:szCs w:val="32"/>
        </w:rPr>
        <w:t xml:space="preserve">1. Engagement Overview</w:t>
      </w:r>
    </w:p>
    <w:p>
      <w:pPr>
        <w:spacing w:after="140"/>
      </w:pPr>
      <w:r>
        <w:rPr>
          <w:rFonts w:ascii="Arial" w:cs="Arial" w:eastAsia="Arial" w:hAnsi="Arial"/>
          <w:b w:val="false"/>
          <w:bCs w:val="false"/>
          <w:i w:val="false"/>
          <w:iCs w:val="false"/>
          <w:color w:val="1F1F1F"/>
          <w:sz w:val="20"/>
          <w:szCs w:val="20"/>
        </w:rPr>
        <w:t xml:space="preserve">Packet Fusion will deliver the design, configuration, and deployment of a Zoom AI Virtual Agent (ZVA) solution for Nutech National. This engagement extends Nutech's existing Zoom Phone infrastructure with an autonomous voice agent capable of handling common operational inquiries, delivering system-specific self-help instructions to callers, and escalating to live monitoring-center staff when human intervention is required.</w:t>
      </w:r>
    </w:p>
    <w:p>
      <w:pPr>
        <w:spacing w:after="140"/>
      </w:pPr>
      <w:r>
        <w:rPr>
          <w:rFonts w:ascii="Arial" w:cs="Arial" w:eastAsia="Arial" w:hAnsi="Arial"/>
          <w:b w:val="false"/>
          <w:bCs w:val="false"/>
          <w:i w:val="false"/>
          <w:iCs w:val="false"/>
          <w:color w:val="1F1F1F"/>
          <w:sz w:val="20"/>
          <w:szCs w:val="20"/>
        </w:rPr>
        <w:t xml:space="preserve">The deployment is scoped as a Phase 1 voice-channel rollout at a single logical site, targeting 1–10 intents and up to 3,000 monthly sessions. Knowledge base integration and live-agent escalation are both in scope for initial go-live.</w:t>
      </w:r>
    </w:p>
    <w:p>
      <w:pPr>
        <w:keepNext/>
        <w:keepLines/>
        <w:spacing w:after="120" w:before="280"/>
      </w:pPr>
      <w:r>
        <w:rPr>
          <w:rFonts w:ascii="Arial" w:cs="Arial" w:eastAsia="Arial" w:hAnsi="Arial"/>
          <w:b/>
          <w:bCs/>
          <w:color w:val="003B5C"/>
          <w:sz w:val="26"/>
          <w:szCs w:val="26"/>
        </w:rPr>
        <w:t xml:space="preserve">1.1 Engagement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Business Goals</w:t>
            </w:r>
          </w:p>
        </w:tc>
        <w:tc>
          <w:tcPr>
            <w:tcW w:type="dxa" w:w="6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60"/>
              <w:jc w:val="left"/>
            </w:pPr>
            <w:r>
              <w:rPr>
                <w:rFonts w:ascii="Arial" w:cs="Arial" w:eastAsia="Arial" w:hAnsi="Arial"/>
                <w:b w:val="false"/>
                <w:bCs w:val="false"/>
                <w:i w:val="false"/>
                <w:iCs w:val="false"/>
                <w:color w:val="1F1F1F"/>
                <w:sz w:val="20"/>
                <w:szCs w:val="20"/>
              </w:rPr>
              <w:t xml:space="preserve">Reduce dependence on the after-hours answer service.</w:t>
            </w:r>
          </w:p>
          <w:p>
            <w:pPr>
              <w:spacing w:after="0"/>
              <w:jc w:val="left"/>
            </w:pPr>
            <w:r>
              <w:rPr>
                <w:rFonts w:ascii="Arial" w:cs="Arial" w:eastAsia="Arial" w:hAnsi="Arial"/>
                <w:b w:val="false"/>
                <w:bCs w:val="false"/>
                <w:i w:val="false"/>
                <w:iCs w:val="false"/>
                <w:color w:val="1F1F1F"/>
                <w:sz w:val="20"/>
                <w:szCs w:val="20"/>
              </w:rPr>
              <w:t xml:space="preserve">Increase self-service resolution for callers seeking basic operational help.</w:t>
            </w:r>
          </w:p>
        </w:tc>
      </w:tr>
      <w:tr>
        <w:trPr>
          <w:cantSplit/>
        </w:trPr>
        <w:tc>
          <w:tcPr>
            <w:tcW w:type="dxa" w:w="260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Problems to Solve</w:t>
            </w:r>
          </w:p>
        </w:tc>
        <w:tc>
          <w:tcPr>
            <w:tcW w:type="dxa" w:w="6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60"/>
              <w:jc w:val="left"/>
            </w:pPr>
            <w:r>
              <w:rPr>
                <w:rFonts w:ascii="Arial" w:cs="Arial" w:eastAsia="Arial" w:hAnsi="Arial"/>
                <w:b w:val="false"/>
                <w:bCs w:val="false"/>
                <w:i w:val="false"/>
                <w:iCs w:val="false"/>
                <w:color w:val="1F1F1F"/>
                <w:sz w:val="20"/>
                <w:szCs w:val="20"/>
              </w:rPr>
              <w:t xml:space="preserve">Routine calls currently require human interaction for mundane tasks.</w:t>
            </w:r>
          </w:p>
          <w:p>
            <w:pPr>
              <w:spacing w:after="0"/>
              <w:jc w:val="left"/>
            </w:pPr>
            <w:r>
              <w:rPr>
                <w:rFonts w:ascii="Arial" w:cs="Arial" w:eastAsia="Arial" w:hAnsi="Arial"/>
                <w:b w:val="false"/>
                <w:bCs w:val="false"/>
                <w:i w:val="false"/>
                <w:iCs w:val="false"/>
                <w:color w:val="1F1F1F"/>
                <w:sz w:val="20"/>
                <w:szCs w:val="20"/>
              </w:rPr>
              <w:t xml:space="preserve">Agents perform manual lookups to identify which systems each caller uses.</w:t>
            </w:r>
          </w:p>
        </w:tc>
      </w:tr>
      <w:tr>
        <w:trPr>
          <w:cantSplit/>
        </w:trPr>
        <w:tc>
          <w:tcPr>
            <w:tcW w:type="dxa" w:w="260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Success at 90 Days</w:t>
            </w:r>
          </w:p>
        </w:tc>
        <w:tc>
          <w:tcPr>
            <w:tcW w:type="dxa" w:w="6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An autonomous self-help system is in production, delivering system-specific instructions to callers and escalating to monitoring centers as needed for test-mode operation.</w:t>
            </w:r>
          </w:p>
        </w:tc>
      </w:tr>
      <w:tr>
        <w:trPr>
          <w:cantSplit/>
        </w:trPr>
        <w:tc>
          <w:tcPr>
            <w:tcW w:type="dxa" w:w="260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Success at 6–12 Months</w:t>
            </w:r>
          </w:p>
        </w:tc>
        <w:tc>
          <w:tcPr>
            <w:tcW w:type="dxa" w:w="6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60"/>
              <w:jc w:val="left"/>
            </w:pPr>
            <w:r>
              <w:rPr>
                <w:rFonts w:ascii="Arial" w:cs="Arial" w:eastAsia="Arial" w:hAnsi="Arial"/>
                <w:b w:val="false"/>
                <w:bCs w:val="false"/>
                <w:i w:val="false"/>
                <w:iCs w:val="false"/>
                <w:color w:val="1F1F1F"/>
                <w:sz w:val="20"/>
                <w:szCs w:val="20"/>
              </w:rPr>
              <w:t xml:space="preserve">Measurable reduction in call volume handled by call-center and engineering staff.</w:t>
            </w:r>
          </w:p>
          <w:p>
            <w:pPr>
              <w:spacing w:after="0"/>
              <w:jc w:val="left"/>
            </w:pPr>
            <w:r>
              <w:rPr>
                <w:rFonts w:ascii="Arial" w:cs="Arial" w:eastAsia="Arial" w:hAnsi="Arial"/>
                <w:b w:val="false"/>
                <w:bCs w:val="false"/>
                <w:i w:val="false"/>
                <w:iCs w:val="false"/>
                <w:color w:val="1F1F1F"/>
                <w:sz w:val="20"/>
                <w:szCs w:val="20"/>
              </w:rPr>
              <w:t xml:space="preserve">After-hours answer service retired.</w:t>
            </w:r>
          </w:p>
        </w:tc>
      </w:tr>
    </w:tbl>
    <w:p>
      <w:pPr>
        <w:keepNext/>
        <w:keepLines/>
        <w:spacing w:after="120" w:before="280"/>
      </w:pPr>
      <w:r>
        <w:rPr>
          <w:rFonts w:ascii="Arial" w:cs="Arial" w:eastAsia="Arial" w:hAnsi="Arial"/>
          <w:b/>
          <w:bCs/>
          <w:color w:val="003B5C"/>
          <w:sz w:val="26"/>
          <w:szCs w:val="26"/>
        </w:rPr>
        <w:t xml:space="preserve">1.2 Scope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FFFFFF"/>
                <w:sz w:val="20"/>
                <w:szCs w:val="20"/>
              </w:rPr>
              <w:t xml:space="preserve">Channels</w:t>
            </w:r>
          </w:p>
        </w:tc>
        <w:tc>
          <w:tcPr>
            <w:tcW w:type="dxa" w:w="1872"/>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FFFFFF"/>
                <w:sz w:val="20"/>
                <w:szCs w:val="20"/>
              </w:rPr>
              <w:t xml:space="preserve">Intents (Phase 1)</w:t>
            </w:r>
          </w:p>
        </w:tc>
        <w:tc>
          <w:tcPr>
            <w:tcW w:type="dxa" w:w="1872"/>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FFFFFF"/>
                <w:sz w:val="20"/>
                <w:szCs w:val="20"/>
              </w:rPr>
              <w:t xml:space="preserve">Monthly Sessions</w:t>
            </w:r>
          </w:p>
        </w:tc>
        <w:tc>
          <w:tcPr>
            <w:tcW w:type="dxa" w:w="1872"/>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FFFFFF"/>
                <w:sz w:val="20"/>
                <w:szCs w:val="20"/>
              </w:rPr>
              <w:t xml:space="preserve">Sites</w:t>
            </w:r>
          </w:p>
        </w:tc>
        <w:tc>
          <w:tcPr>
            <w:tcW w:type="dxa" w:w="1872"/>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FFFFFF"/>
                <w:sz w:val="20"/>
                <w:szCs w:val="20"/>
              </w:rPr>
              <w:t xml:space="preserve">Go-Lives</w:t>
            </w:r>
          </w:p>
        </w:tc>
      </w:tr>
      <w:tr>
        <w:trPr>
          <w:cantSplit/>
        </w:trPr>
        <w:tc>
          <w:tcPr>
            <w:tcW w:type="dxa" w:w="1872"/>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003B5C"/>
                <w:sz w:val="22"/>
                <w:szCs w:val="22"/>
              </w:rPr>
              <w:t xml:space="preserve">Voice (IVR)</w:t>
            </w:r>
          </w:p>
        </w:tc>
        <w:tc>
          <w:tcPr>
            <w:tcW w:type="dxa" w:w="1872"/>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003B5C"/>
                <w:sz w:val="22"/>
                <w:szCs w:val="22"/>
              </w:rPr>
              <w:t xml:space="preserve">1–10</w:t>
            </w:r>
          </w:p>
        </w:tc>
        <w:tc>
          <w:tcPr>
            <w:tcW w:type="dxa" w:w="1872"/>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003B5C"/>
                <w:sz w:val="22"/>
                <w:szCs w:val="22"/>
              </w:rPr>
              <w:t xml:space="preserve">3,000</w:t>
            </w:r>
          </w:p>
        </w:tc>
        <w:tc>
          <w:tcPr>
            <w:tcW w:type="dxa" w:w="1872"/>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003B5C"/>
                <w:sz w:val="22"/>
                <w:szCs w:val="22"/>
              </w:rPr>
              <w:t xml:space="preserve">1</w:t>
            </w:r>
          </w:p>
        </w:tc>
        <w:tc>
          <w:tcPr>
            <w:tcW w:type="dxa" w:w="1872"/>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7C662"/>
                <w:sz w:val="22"/>
                <w:szCs w:val="22"/>
              </w:rPr>
              <w:t xml:space="preserve">1</w:t>
            </w:r>
          </w:p>
        </w:tc>
      </w:tr>
    </w:tbl>
    <w:p>
      <w:pPr>
        <w:keepNext/>
        <w:keepLines/>
        <w:spacing w:after="120" w:before="280"/>
      </w:pPr>
      <w:r>
        <w:rPr>
          <w:rFonts w:ascii="Arial" w:cs="Arial" w:eastAsia="Arial" w:hAnsi="Arial"/>
          <w:b/>
          <w:bCs/>
          <w:color w:val="003B5C"/>
          <w:sz w:val="26"/>
          <w:szCs w:val="26"/>
        </w:rPr>
        <w:t xml:space="preserve">1.3 In-Scope Use Cases</w:t>
      </w:r>
    </w:p>
    <w:p>
      <w:pPr>
        <w:pStyle w:val="ListParagraph"/>
        <w:keepNext/>
        <w:keepLines/>
        <w:numPr>
          <w:ilvl w:val="0"/>
          <w:numId w:val="2"/>
        </w:numPr>
        <w:spacing w:after="80"/>
      </w:pPr>
      <w:r>
        <w:rPr>
          <w:rFonts w:ascii="Arial" w:cs="Arial" w:eastAsia="Arial" w:hAnsi="Arial"/>
          <w:color w:val="1F1F1F"/>
          <w:sz w:val="20"/>
          <w:szCs w:val="20"/>
        </w:rPr>
        <w:t xml:space="preserve">Account Inquiry — caller identification and routing based on the customer-to-system mapping.</w:t>
      </w:r>
    </w:p>
    <w:p>
      <w:pPr>
        <w:pStyle w:val="ListParagraph"/>
        <w:keepNext/>
        <w:keepLines/>
        <w:numPr>
          <w:ilvl w:val="0"/>
          <w:numId w:val="2"/>
        </w:numPr>
        <w:spacing w:after="80"/>
      </w:pPr>
      <w:r>
        <w:rPr>
          <w:rFonts w:ascii="Arial" w:cs="Arial" w:eastAsia="Arial" w:hAnsi="Arial"/>
          <w:color w:val="1F1F1F"/>
          <w:sz w:val="20"/>
          <w:szCs w:val="20"/>
        </w:rPr>
        <w:t xml:space="preserve">Technical Support — delivery of system-specific self-help instructions drawn from the knowledge base.</w:t>
      </w:r>
    </w:p>
    <w:p>
      <w:pPr>
        <w:pStyle w:val="ListParagraph"/>
        <w:keepNext/>
        <w:keepLines/>
        <w:numPr>
          <w:ilvl w:val="0"/>
          <w:numId w:val="2"/>
        </w:numPr>
        <w:spacing w:after="80"/>
      </w:pPr>
      <w:r>
        <w:rPr>
          <w:rFonts w:ascii="Arial" w:cs="Arial" w:eastAsia="Arial" w:hAnsi="Arial"/>
          <w:color w:val="1F1F1F"/>
          <w:sz w:val="20"/>
          <w:szCs w:val="20"/>
        </w:rPr>
        <w:t xml:space="preserve">FAQ Self-Service — automated responses to common operational questions.</w:t>
      </w:r>
    </w:p>
    <w:p>
      <w:pPr>
        <w:pStyle w:val="ListParagraph"/>
        <w:keepNext/>
        <w:keepLines/>
        <w:numPr>
          <w:ilvl w:val="0"/>
          <w:numId w:val="2"/>
        </w:numPr>
        <w:spacing w:after="80"/>
      </w:pPr>
      <w:r>
        <w:rPr>
          <w:rFonts w:ascii="Arial" w:cs="Arial" w:eastAsia="Arial" w:hAnsi="Arial"/>
          <w:color w:val="1F1F1F"/>
          <w:sz w:val="20"/>
          <w:szCs w:val="20"/>
        </w:rPr>
        <w:t xml:space="preserve">Live-Agent Escalation — warm handoff to monitoring-center staff when the virtual agent cannot resolve the request.</w:t>
      </w:r>
    </w:p>
    <w:p>
      <w:pPr>
        <w:keepNext/>
        <w:keepLines/>
        <w:pageBreakBefore/>
        <w:spacing w:after="120" w:before="280"/>
      </w:pPr>
      <w:r>
        <w:rPr>
          <w:rFonts w:ascii="Arial" w:cs="Arial" w:eastAsia="Arial" w:hAnsi="Arial"/>
          <w:b/>
          <w:bCs/>
          <w:color w:val="003B5C"/>
          <w:sz w:val="26"/>
          <w:szCs w:val="26"/>
        </w:rPr>
        <w:t xml:space="preserve">1.4 Solution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Virtual Agent Channels</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Voice</w:t>
            </w:r>
          </w:p>
        </w:tc>
      </w:tr>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Intents (Phase 1)</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1–10</w:t>
            </w:r>
          </w:p>
        </w:tc>
      </w:tr>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Monthly Sessions</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3,000</w:t>
            </w:r>
          </w:p>
        </w:tc>
      </w:tr>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Live-Agent Escalation</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Yes — warm transfer to monitoring center</w:t>
            </w:r>
          </w:p>
        </w:tc>
      </w:tr>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Sites</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1</w:t>
            </w:r>
          </w:p>
        </w:tc>
      </w:tr>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Phases / Go-Lives</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1</w:t>
            </w:r>
          </w:p>
        </w:tc>
      </w:tr>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Implementation Strategy</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Cloud Professional</w:t>
            </w:r>
          </w:p>
        </w:tc>
      </w:tr>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CRM Integration</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iCs/>
                <w:color w:val="555555"/>
                <w:sz w:val="20"/>
                <w:szCs w:val="20"/>
              </w:rPr>
              <w:t xml:space="preserve">[TO CONFIRM — CRM system of record to be identified during Discovery]</w:t>
            </w:r>
          </w:p>
        </w:tc>
      </w:tr>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Platform Notes</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ZVA deployment only. Existing Zoom Phone infrastructure is in place and is not modified under this SOW.</w:t>
            </w:r>
          </w:p>
        </w:tc>
      </w:tr>
    </w:tbl>
    <w:p>
      <w:r>
        <w:br w:type="page"/>
      </w:r>
    </w:p>
    <w:p>
      <w:pPr>
        <w:keepNext/>
        <w:keepLines/>
        <w:pBdr>
          <w:bottom w:val="single" w:color="17C662" w:sz="12" w:space="6"/>
        </w:pBdr>
        <w:spacing w:after="180" w:before="400"/>
      </w:pPr>
      <w:r>
        <w:rPr>
          <w:rFonts w:ascii="Arial" w:cs="Arial" w:eastAsia="Arial" w:hAnsi="Arial"/>
          <w:b/>
          <w:bCs/>
          <w:color w:val="003B5C"/>
          <w:sz w:val="32"/>
          <w:szCs w:val="32"/>
        </w:rPr>
        <w:t xml:space="preserve">2. Delivery Plan</w:t>
      </w:r>
    </w:p>
    <w:p>
      <w:pPr>
        <w:keepNext/>
        <w:keepLines/>
        <w:spacing w:after="120" w:before="280"/>
      </w:pPr>
      <w:r>
        <w:rPr>
          <w:rFonts w:ascii="Arial" w:cs="Arial" w:eastAsia="Arial" w:hAnsi="Arial"/>
          <w:b/>
          <w:bCs/>
          <w:color w:val="003B5C"/>
          <w:sz w:val="26"/>
          <w:szCs w:val="26"/>
        </w:rPr>
        <w:t xml:space="preserve">2.1 Work Breakdown &amp; Deliverables</w:t>
      </w:r>
    </w:p>
    <w:p>
      <w:pPr>
        <w:spacing w:after="140"/>
      </w:pPr>
      <w:r>
        <w:rPr>
          <w:rFonts w:ascii="Arial" w:cs="Arial" w:eastAsia="Arial" w:hAnsi="Arial"/>
          <w:b w:val="false"/>
          <w:bCs w:val="false"/>
          <w:i w:val="false"/>
          <w:iCs w:val="false"/>
          <w:color w:val="1F1F1F"/>
          <w:sz w:val="20"/>
          <w:szCs w:val="20"/>
        </w:rPr>
        <w:t xml:space="preserve">The engagement is scoped to approximately 81 hours of Packet Fusion professional services effort, distributed across the following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cantSplit/>
          <w:tblHeader/>
        </w:trPr>
        <w:tc>
          <w:tcPr>
            <w:tcW w:type="dxa" w:w="2400"/>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Workstream</w:t>
            </w:r>
          </w:p>
        </w:tc>
        <w:tc>
          <w:tcPr>
            <w:tcW w:type="dxa" w:w="5760"/>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Key Deliverables</w:t>
            </w:r>
          </w:p>
        </w:tc>
        <w:tc>
          <w:tcPr>
            <w:tcW w:type="dxa" w:w="1200"/>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FFFFFF"/>
                <w:sz w:val="20"/>
                <w:szCs w:val="20"/>
              </w:rPr>
              <w:t xml:space="preserve">Hours</w:t>
            </w:r>
          </w:p>
        </w:tc>
      </w:tr>
      <w:tr>
        <w:trPr>
          <w:cantSplit/>
        </w:trPr>
        <w:tc>
          <w:tcPr>
            <w:tcW w:type="dxa" w:w="24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Discovery &amp; Requirements</w:t>
            </w:r>
          </w:p>
        </w:tc>
        <w:tc>
          <w:tcPr>
            <w:tcW w:type="dxa" w:w="5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Completed requirements document, current-state analysis, stakeholder interview notes.</w:t>
            </w:r>
          </w:p>
        </w:tc>
        <w:tc>
          <w:tcPr>
            <w:tcW w:type="dxa" w:w="12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1F1F"/>
                <w:sz w:val="20"/>
                <w:szCs w:val="20"/>
              </w:rPr>
              <w:t xml:space="preserve">7</w:t>
            </w:r>
          </w:p>
        </w:tc>
      </w:tr>
      <w:tr>
        <w:trPr>
          <w:cantSplit/>
        </w:trPr>
        <w:tc>
          <w:tcPr>
            <w:tcW w:type="dxa" w:w="24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Solution Design</w:t>
            </w:r>
          </w:p>
        </w:tc>
        <w:tc>
          <w:tcPr>
            <w:tcW w:type="dxa" w:w="5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Solution design document, architecture diagram, configuration specifications.</w:t>
            </w:r>
          </w:p>
        </w:tc>
        <w:tc>
          <w:tcPr>
            <w:tcW w:type="dxa" w:w="12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1F1F"/>
                <w:sz w:val="20"/>
                <w:szCs w:val="20"/>
              </w:rPr>
              <w:t xml:space="preserve">11</w:t>
            </w:r>
          </w:p>
        </w:tc>
      </w:tr>
      <w:tr>
        <w:trPr>
          <w:cantSplit/>
        </w:trPr>
        <w:tc>
          <w:tcPr>
            <w:tcW w:type="dxa" w:w="24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Project Management</w:t>
            </w:r>
          </w:p>
        </w:tc>
        <w:tc>
          <w:tcPr>
            <w:tcW w:type="dxa" w:w="5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Project plan, status reports, risk register, steering committee updates.</w:t>
            </w:r>
          </w:p>
        </w:tc>
        <w:tc>
          <w:tcPr>
            <w:tcW w:type="dxa" w:w="12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1F1F"/>
                <w:sz w:val="20"/>
                <w:szCs w:val="20"/>
              </w:rPr>
              <w:t xml:space="preserve">9</w:t>
            </w:r>
          </w:p>
        </w:tc>
      </w:tr>
      <w:tr>
        <w:trPr>
          <w:cantSplit/>
        </w:trPr>
        <w:tc>
          <w:tcPr>
            <w:tcW w:type="dxa" w:w="24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Implementation &amp; Configuration</w:t>
            </w:r>
          </w:p>
        </w:tc>
        <w:tc>
          <w:tcPr>
            <w:tcW w:type="dxa" w:w="5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Fully configured ZVA per agreed specifications, configuration workbook.</w:t>
            </w:r>
          </w:p>
        </w:tc>
        <w:tc>
          <w:tcPr>
            <w:tcW w:type="dxa" w:w="12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1F1F"/>
                <w:sz w:val="20"/>
                <w:szCs w:val="20"/>
              </w:rPr>
              <w:t xml:space="preserve">18</w:t>
            </w:r>
          </w:p>
        </w:tc>
      </w:tr>
      <w:tr>
        <w:trPr>
          <w:cantSplit/>
        </w:trPr>
        <w:tc>
          <w:tcPr>
            <w:tcW w:type="dxa" w:w="24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Integration</w:t>
            </w:r>
          </w:p>
        </w:tc>
        <w:tc>
          <w:tcPr>
            <w:tcW w:type="dxa" w:w="5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Integrated systems per design, integration test results, API documentation.</w:t>
            </w:r>
          </w:p>
        </w:tc>
        <w:tc>
          <w:tcPr>
            <w:tcW w:type="dxa" w:w="12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1F1F"/>
                <w:sz w:val="20"/>
                <w:szCs w:val="20"/>
              </w:rPr>
              <w:t xml:space="preserve">4</w:t>
            </w:r>
          </w:p>
        </w:tc>
      </w:tr>
      <w:tr>
        <w:trPr>
          <w:cantSplit/>
        </w:trPr>
        <w:tc>
          <w:tcPr>
            <w:tcW w:type="dxa" w:w="24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Migration &amp; Data Porting</w:t>
            </w:r>
          </w:p>
        </w:tc>
        <w:tc>
          <w:tcPr>
            <w:tcW w:type="dxa" w:w="5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Customer-to-system mapping loaded, cutover plan, migration test results.</w:t>
            </w:r>
          </w:p>
        </w:tc>
        <w:tc>
          <w:tcPr>
            <w:tcW w:type="dxa" w:w="12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1F1F"/>
                <w:sz w:val="20"/>
                <w:szCs w:val="20"/>
              </w:rPr>
              <w:t xml:space="preserve">11</w:t>
            </w:r>
          </w:p>
        </w:tc>
      </w:tr>
      <w:tr>
        <w:trPr>
          <w:cantSplit/>
        </w:trPr>
        <w:tc>
          <w:tcPr>
            <w:tcW w:type="dxa" w:w="24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Testing &amp; UAT</w:t>
            </w:r>
          </w:p>
        </w:tc>
        <w:tc>
          <w:tcPr>
            <w:tcW w:type="dxa" w:w="5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Test plan, executed test cases, UAT sign-off, defect resolution log.</w:t>
            </w:r>
          </w:p>
        </w:tc>
        <w:tc>
          <w:tcPr>
            <w:tcW w:type="dxa" w:w="12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1F1F"/>
                <w:sz w:val="20"/>
                <w:szCs w:val="20"/>
              </w:rPr>
              <w:t xml:space="preserve">7</w:t>
            </w:r>
          </w:p>
        </w:tc>
      </w:tr>
      <w:tr>
        <w:trPr>
          <w:cantSplit/>
        </w:trPr>
        <w:tc>
          <w:tcPr>
            <w:tcW w:type="dxa" w:w="24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Training &amp; Enablement</w:t>
            </w:r>
          </w:p>
        </w:tc>
        <w:tc>
          <w:tcPr>
            <w:tcW w:type="dxa" w:w="5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Training sessions delivered, training materials, recorded sessions where applicable.</w:t>
            </w:r>
          </w:p>
        </w:tc>
        <w:tc>
          <w:tcPr>
            <w:tcW w:type="dxa" w:w="12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1F1F"/>
                <w:sz w:val="20"/>
                <w:szCs w:val="20"/>
              </w:rPr>
              <w:t xml:space="preserve">5</w:t>
            </w:r>
          </w:p>
        </w:tc>
      </w:tr>
      <w:tr>
        <w:trPr>
          <w:cantSplit/>
        </w:trPr>
        <w:tc>
          <w:tcPr>
            <w:tcW w:type="dxa" w:w="24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Documentation &amp; Handover</w:t>
            </w:r>
          </w:p>
        </w:tc>
        <w:tc>
          <w:tcPr>
            <w:tcW w:type="dxa" w:w="5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As-built documentation, admin guides, runbooks, knowledge-transfer sessions.</w:t>
            </w:r>
          </w:p>
        </w:tc>
        <w:tc>
          <w:tcPr>
            <w:tcW w:type="dxa" w:w="12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1F1F"/>
                <w:sz w:val="20"/>
                <w:szCs w:val="20"/>
              </w:rPr>
              <w:t xml:space="preserve">4</w:t>
            </w:r>
          </w:p>
        </w:tc>
      </w:tr>
      <w:tr>
        <w:trPr>
          <w:cantSplit/>
        </w:trPr>
        <w:tc>
          <w:tcPr>
            <w:tcW w:type="dxa" w:w="24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Hypercare</w:t>
            </w:r>
          </w:p>
        </w:tc>
        <w:tc>
          <w:tcPr>
            <w:tcW w:type="dxa" w:w="57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Post-go-live support, issue resolution, knowledge transition to customer team.</w:t>
            </w:r>
          </w:p>
        </w:tc>
        <w:tc>
          <w:tcPr>
            <w:tcW w:type="dxa" w:w="12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1F1F"/>
                <w:sz w:val="20"/>
                <w:szCs w:val="20"/>
              </w:rPr>
              <w:t xml:space="preserve">5</w:t>
            </w:r>
          </w:p>
        </w:tc>
      </w:tr>
      <w:tr>
        <w:trPr>
          <w:cantSplit/>
        </w:trPr>
        <w:tc>
          <w:tcPr>
            <w:tcW w:type="dxa" w:w="240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Total Estimated Effort</w:t>
            </w:r>
          </w:p>
        </w:tc>
        <w:tc>
          <w:tcPr>
            <w:tcW w:type="dxa" w:w="576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
            </w:r>
          </w:p>
        </w:tc>
        <w:tc>
          <w:tcPr>
            <w:tcW w:type="dxa" w:w="120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003B5C"/>
                <w:sz w:val="24"/>
                <w:szCs w:val="24"/>
              </w:rPr>
              <w:t xml:space="preserve">81</w:t>
            </w:r>
          </w:p>
        </w:tc>
      </w:tr>
    </w:tbl>
    <w:p>
      <w:pPr>
        <w:keepNext/>
        <w:keepLines/>
        <w:pageBreakBefore/>
        <w:spacing w:after="120" w:before="280"/>
      </w:pPr>
      <w:r>
        <w:rPr>
          <w:rFonts w:ascii="Arial" w:cs="Arial" w:eastAsia="Arial" w:hAnsi="Arial"/>
          <w:b/>
          <w:bCs/>
          <w:color w:val="003B5C"/>
          <w:sz w:val="26"/>
          <w:szCs w:val="26"/>
        </w:rPr>
        <w:t xml:space="preserve">2.2 Implementation Timeline</w:t>
      </w:r>
    </w:p>
    <w:p>
      <w:pPr>
        <w:spacing w:after="140"/>
      </w:pPr>
      <w:r>
        <w:rPr>
          <w:rFonts w:ascii="Arial" w:cs="Arial" w:eastAsia="Arial" w:hAnsi="Arial"/>
          <w:b w:val="false"/>
          <w:bCs w:val="false"/>
          <w:i w:val="false"/>
          <w:iCs w:val="false"/>
          <w:color w:val="1F1F1F"/>
          <w:sz w:val="20"/>
          <w:szCs w:val="20"/>
        </w:rPr>
        <w:t xml:space="preserve">Packet Fusion's standard ZVA deployment methodology delivers this scope across approximately five weeks of active implementation, followed by a two-week hypercare period. Exact calendar dates will be finalized at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4360"/>
        <w:gridCol w:w="2100"/>
      </w:tblGrid>
      <w:tr>
        <w:trPr>
          <w:cantSplit/>
          <w:tblHeader/>
        </w:trPr>
        <w:tc>
          <w:tcPr>
            <w:tcW w:type="dxa" w:w="1000"/>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FFFFFF"/>
                <w:sz w:val="20"/>
                <w:szCs w:val="20"/>
              </w:rPr>
              <w:t xml:space="preserve">Week</w:t>
            </w:r>
          </w:p>
        </w:tc>
        <w:tc>
          <w:tcPr>
            <w:tcW w:type="dxa" w:w="1900"/>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Phase</w:t>
            </w:r>
          </w:p>
        </w:tc>
        <w:tc>
          <w:tcPr>
            <w:tcW w:type="dxa" w:w="4360"/>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Activities</w:t>
            </w:r>
          </w:p>
        </w:tc>
        <w:tc>
          <w:tcPr>
            <w:tcW w:type="dxa" w:w="2100"/>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Milestone</w:t>
            </w:r>
          </w:p>
        </w:tc>
      </w:tr>
      <w:tr>
        <w:trPr>
          <w:cantSplit/>
        </w:trPr>
        <w:tc>
          <w:tcPr>
            <w:tcW w:type="dxa" w:w="10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003B5C"/>
                <w:sz w:val="20"/>
                <w:szCs w:val="20"/>
              </w:rPr>
              <w:t xml:space="preserve">Week 1</w:t>
            </w:r>
          </w:p>
        </w:tc>
        <w:tc>
          <w:tcPr>
            <w:tcW w:type="dxa" w:w="19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1F1F"/>
                <w:sz w:val="20"/>
                <w:szCs w:val="20"/>
              </w:rPr>
              <w:t xml:space="preserve">Discovery &amp; Requirements</w:t>
            </w:r>
          </w:p>
        </w:tc>
        <w:tc>
          <w:tcPr>
            <w:tcW w:type="dxa" w:w="43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Kickoff meeting; stakeholder interviews; current-state review; requirements document signed off.</w:t>
            </w:r>
          </w:p>
        </w:tc>
        <w:tc>
          <w:tcPr>
            <w:tcW w:type="dxa" w:w="21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iCs/>
                <w:color w:val="17C662"/>
                <w:sz w:val="20"/>
                <w:szCs w:val="20"/>
              </w:rPr>
              <w:t xml:space="preserve">Requirements sign-off</w:t>
            </w:r>
          </w:p>
        </w:tc>
      </w:tr>
      <w:tr>
        <w:trPr>
          <w:cantSplit/>
        </w:trPr>
        <w:tc>
          <w:tcPr>
            <w:tcW w:type="dxa" w:w="10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003B5C"/>
                <w:sz w:val="20"/>
                <w:szCs w:val="20"/>
              </w:rPr>
              <w:t xml:space="preserve">Week 2</w:t>
            </w:r>
          </w:p>
        </w:tc>
        <w:tc>
          <w:tcPr>
            <w:tcW w:type="dxa" w:w="19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1F1F"/>
                <w:sz w:val="20"/>
                <w:szCs w:val="20"/>
              </w:rPr>
              <w:t xml:space="preserve">Solution Design</w:t>
            </w:r>
          </w:p>
        </w:tc>
        <w:tc>
          <w:tcPr>
            <w:tcW w:type="dxa" w:w="43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Architecture diagram; intent and dialog design; escalation call flow; knowledge-base content plan; configuration specs approved.</w:t>
            </w:r>
          </w:p>
        </w:tc>
        <w:tc>
          <w:tcPr>
            <w:tcW w:type="dxa" w:w="21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iCs/>
                <w:color w:val="17C662"/>
                <w:sz w:val="20"/>
                <w:szCs w:val="20"/>
              </w:rPr>
              <w:t xml:space="preserve">Solution design approved</w:t>
            </w:r>
          </w:p>
        </w:tc>
      </w:tr>
      <w:tr>
        <w:trPr>
          <w:cantSplit/>
        </w:trPr>
        <w:tc>
          <w:tcPr>
            <w:tcW w:type="dxa" w:w="10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003B5C"/>
                <w:sz w:val="20"/>
                <w:szCs w:val="20"/>
              </w:rPr>
              <w:t xml:space="preserve">Week 3</w:t>
            </w:r>
          </w:p>
        </w:tc>
        <w:tc>
          <w:tcPr>
            <w:tcW w:type="dxa" w:w="19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1F1F"/>
                <w:sz w:val="20"/>
                <w:szCs w:val="20"/>
              </w:rPr>
              <w:t xml:space="preserve">Implementation &amp; Configuration</w:t>
            </w:r>
          </w:p>
        </w:tc>
        <w:tc>
          <w:tcPr>
            <w:tcW w:type="dxa" w:w="43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ZVA tenant configuration; intent build-out; knowledge-base ingest; live-agent escalation configured.</w:t>
            </w:r>
          </w:p>
        </w:tc>
        <w:tc>
          <w:tcPr>
            <w:tcW w:type="dxa" w:w="21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iCs/>
                <w:color w:val="17C662"/>
                <w:sz w:val="20"/>
                <w:szCs w:val="20"/>
              </w:rPr>
              <w:t xml:space="preserve">Configuration complete</w:t>
            </w:r>
          </w:p>
        </w:tc>
      </w:tr>
      <w:tr>
        <w:trPr>
          <w:cantSplit/>
        </w:trPr>
        <w:tc>
          <w:tcPr>
            <w:tcW w:type="dxa" w:w="10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003B5C"/>
                <w:sz w:val="20"/>
                <w:szCs w:val="20"/>
              </w:rPr>
              <w:t xml:space="preserve">Week 4</w:t>
            </w:r>
          </w:p>
        </w:tc>
        <w:tc>
          <w:tcPr>
            <w:tcW w:type="dxa" w:w="19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1F1F"/>
                <w:sz w:val="20"/>
                <w:szCs w:val="20"/>
              </w:rPr>
              <w:t xml:space="preserve">Integration &amp; Data</w:t>
            </w:r>
          </w:p>
        </w:tc>
        <w:tc>
          <w:tcPr>
            <w:tcW w:type="dxa" w:w="43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API integration (customer-to-system mapping); CRM connection; integration test results; end-to-end call flow validated.</w:t>
            </w:r>
          </w:p>
        </w:tc>
        <w:tc>
          <w:tcPr>
            <w:tcW w:type="dxa" w:w="21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iCs/>
                <w:color w:val="17C662"/>
                <w:sz w:val="20"/>
                <w:szCs w:val="20"/>
              </w:rPr>
              <w:t xml:space="preserve">Integration tested</w:t>
            </w:r>
          </w:p>
        </w:tc>
      </w:tr>
      <w:tr>
        <w:trPr>
          <w:cantSplit/>
        </w:trPr>
        <w:tc>
          <w:tcPr>
            <w:tcW w:type="dxa" w:w="10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003B5C"/>
                <w:sz w:val="20"/>
                <w:szCs w:val="20"/>
              </w:rPr>
              <w:t xml:space="preserve">Week 5</w:t>
            </w:r>
          </w:p>
        </w:tc>
        <w:tc>
          <w:tcPr>
            <w:tcW w:type="dxa" w:w="19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1F1F"/>
                <w:sz w:val="20"/>
                <w:szCs w:val="20"/>
              </w:rPr>
              <w:t xml:space="preserve">Testing, UAT &amp; Training</w:t>
            </w:r>
          </w:p>
        </w:tc>
        <w:tc>
          <w:tcPr>
            <w:tcW w:type="dxa" w:w="43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Functional and UAT test execution; defect resolution; admin and end-user training delivered; documentation package handed over.</w:t>
            </w:r>
          </w:p>
        </w:tc>
        <w:tc>
          <w:tcPr>
            <w:tcW w:type="dxa" w:w="21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iCs/>
                <w:color w:val="17C662"/>
                <w:sz w:val="20"/>
                <w:szCs w:val="20"/>
              </w:rPr>
              <w:t xml:space="preserve">UAT sign-off &amp; go-live</w:t>
            </w:r>
          </w:p>
        </w:tc>
      </w:tr>
      <w:tr>
        <w:trPr>
          <w:cantSplit/>
        </w:trPr>
        <w:tc>
          <w:tcPr>
            <w:tcW w:type="dxa" w:w="10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003B5C"/>
                <w:sz w:val="20"/>
                <w:szCs w:val="20"/>
              </w:rPr>
              <w:t xml:space="preserve">Weeks 6–7</w:t>
            </w:r>
          </w:p>
        </w:tc>
        <w:tc>
          <w:tcPr>
            <w:tcW w:type="dxa" w:w="19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1F1F1F"/>
                <w:sz w:val="20"/>
                <w:szCs w:val="20"/>
              </w:rPr>
              <w:t xml:space="preserve">Hypercare</w:t>
            </w:r>
          </w:p>
        </w:tc>
        <w:tc>
          <w:tcPr>
            <w:tcW w:type="dxa" w:w="43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Post-go-live support; issue triage; tuning of intents based on live traffic; knowledge transfer to Customer team.</w:t>
            </w:r>
          </w:p>
        </w:tc>
        <w:tc>
          <w:tcPr>
            <w:tcW w:type="dxa" w:w="21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bCs/>
                <w:i/>
                <w:iCs/>
                <w:color w:val="17C662"/>
                <w:sz w:val="20"/>
                <w:szCs w:val="20"/>
              </w:rPr>
              <w:t xml:space="preserve">Hypercare exit &amp; acceptance</w:t>
            </w:r>
          </w:p>
        </w:tc>
      </w:tr>
    </w:tbl>
    <w:p>
      <w:pPr>
        <w:spacing w:after="120"/>
      </w:pPr>
      <w:r>
        <w:t xml:space="preserve"/>
      </w:r>
    </w:p>
    <w:p>
      <w:pPr>
        <w:spacing w:after="140"/>
      </w:pPr>
      <w:r>
        <w:rPr>
          <w:rFonts w:ascii="Arial" w:cs="Arial" w:eastAsia="Arial" w:hAnsi="Arial"/>
          <w:b w:val="false"/>
          <w:bCs w:val="false"/>
          <w:i/>
          <w:iCs/>
          <w:color w:val="555555"/>
          <w:sz w:val="18"/>
          <w:szCs w:val="18"/>
        </w:rPr>
        <w:t xml:space="preserve">All work is performed remotely. Timeline assumes timely turnaround of Customer deliverables as described in Section 5 (Assumptions &amp; Customer Responsibilities).</w:t>
      </w:r>
    </w:p>
    <w:p>
      <w:r>
        <w:br w:type="page"/>
      </w:r>
    </w:p>
    <w:p>
      <w:pPr>
        <w:keepNext/>
        <w:keepLines/>
        <w:pBdr>
          <w:bottom w:val="single" w:color="17C662" w:sz="12" w:space="6"/>
        </w:pBdr>
        <w:spacing w:after="180" w:before="400"/>
      </w:pPr>
      <w:r>
        <w:rPr>
          <w:rFonts w:ascii="Arial" w:cs="Arial" w:eastAsia="Arial" w:hAnsi="Arial"/>
          <w:b/>
          <w:bCs/>
          <w:color w:val="003B5C"/>
          <w:sz w:val="32"/>
          <w:szCs w:val="32"/>
        </w:rPr>
        <w:t xml:space="preserve">3. Project Investment</w:t>
      </w:r>
    </w:p>
    <w:p>
      <w:pPr>
        <w:spacing w:after="140"/>
      </w:pPr>
      <w:r>
        <w:rPr>
          <w:rFonts w:ascii="Arial" w:cs="Arial" w:eastAsia="Arial" w:hAnsi="Arial"/>
          <w:b w:val="false"/>
          <w:bCs w:val="false"/>
          <w:i w:val="false"/>
          <w:iCs w:val="false"/>
          <w:color w:val="1F1F1F"/>
          <w:sz w:val="20"/>
          <w:szCs w:val="20"/>
        </w:rPr>
        <w:t xml:space="preserve">Pricing below covers the Packet Fusion-delivered professional services only. Zoom platform licensing, recurring ZVA session charges, taxes, and fees are quoted separately by Zoom and are not included in this SOW.</w:t>
      </w:r>
    </w:p>
    <w:p>
      <w:pPr>
        <w:spacing w:after="140"/>
      </w:pPr>
      <w:r>
        <w:rPr>
          <w:rFonts w:ascii="Arial" w:cs="Arial" w:eastAsia="Arial" w:hAnsi="Arial"/>
          <w:b w:val="false"/>
          <w:bCs w:val="false"/>
          <w:i/>
          <w:iCs/>
          <w:color w:val="B33A3A"/>
          <w:sz w:val="18"/>
          <w:szCs w:val="18"/>
        </w:rPr>
        <w:t xml:space="preserve">[PLACEHOLDER: Blended hourly rate of $165/hr used as a default estimate. Confirm against current internal rate card before release to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rPr>
          <w:cantSplit/>
          <w:tblHeader/>
        </w:trPr>
        <w:tc>
          <w:tcPr>
            <w:tcW w:type="dxa" w:w="5160"/>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Line Item</w:t>
            </w:r>
          </w:p>
        </w:tc>
        <w:tc>
          <w:tcPr>
            <w:tcW w:type="dxa" w:w="1400"/>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FFFFFF"/>
                <w:sz w:val="20"/>
                <w:szCs w:val="20"/>
              </w:rPr>
              <w:t xml:space="preserve">Hours</w:t>
            </w:r>
          </w:p>
        </w:tc>
        <w:tc>
          <w:tcPr>
            <w:tcW w:type="dxa" w:w="1400"/>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FFFFFF"/>
                <w:sz w:val="20"/>
                <w:szCs w:val="20"/>
              </w:rPr>
              <w:t xml:space="preserve">Rate</w:t>
            </w:r>
          </w:p>
        </w:tc>
        <w:tc>
          <w:tcPr>
            <w:tcW w:type="dxa" w:w="1400"/>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right"/>
            </w:pPr>
            <w:r>
              <w:rPr>
                <w:rFonts w:ascii="Arial" w:cs="Arial" w:eastAsia="Arial" w:hAnsi="Arial"/>
                <w:b/>
                <w:bCs/>
                <w:i w:val="false"/>
                <w:iCs w:val="false"/>
                <w:color w:val="FFFFFF"/>
                <w:sz w:val="20"/>
                <w:szCs w:val="20"/>
              </w:rPr>
              <w:t xml:space="preserve">Subtotal</w:t>
            </w:r>
          </w:p>
        </w:tc>
      </w:tr>
      <w:tr>
        <w:trPr>
          <w:cantSplit/>
        </w:trPr>
        <w:tc>
          <w:tcPr>
            <w:tcW w:type="dxa" w:w="51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Zoom AI Virtual Agent — Professional Services (blended)</w:t>
            </w:r>
          </w:p>
        </w:tc>
        <w:tc>
          <w:tcPr>
            <w:tcW w:type="dxa" w:w="14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1F1F1F"/>
                <w:sz w:val="20"/>
                <w:szCs w:val="20"/>
              </w:rPr>
              <w:t xml:space="preserve">81</w:t>
            </w:r>
          </w:p>
        </w:tc>
        <w:tc>
          <w:tcPr>
            <w:tcW w:type="dxa" w:w="14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val="false"/>
                <w:bCs w:val="false"/>
                <w:i w:val="false"/>
                <w:iCs w:val="false"/>
                <w:color w:val="1F1F1F"/>
                <w:sz w:val="20"/>
                <w:szCs w:val="20"/>
              </w:rPr>
              <w:t xml:space="preserve">$165/hr</w:t>
            </w:r>
          </w:p>
        </w:tc>
        <w:tc>
          <w:tcPr>
            <w:tcW w:type="dxa" w:w="14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right"/>
            </w:pPr>
            <w:r>
              <w:rPr>
                <w:rFonts w:ascii="Arial" w:cs="Arial" w:eastAsia="Arial" w:hAnsi="Arial"/>
                <w:b/>
                <w:bCs/>
                <w:i w:val="false"/>
                <w:iCs w:val="false"/>
                <w:color w:val="1F1F1F"/>
                <w:sz w:val="20"/>
                <w:szCs w:val="20"/>
              </w:rPr>
              <w:t xml:space="preserve">$13,365.00</w:t>
            </w:r>
          </w:p>
        </w:tc>
      </w:tr>
      <w:tr>
        <w:trPr>
          <w:cantSplit/>
        </w:trPr>
        <w:tc>
          <w:tcPr>
            <w:tcW w:type="dxa" w:w="516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2"/>
                <w:szCs w:val="22"/>
              </w:rPr>
              <w:t xml:space="preserve">Total Professional Services</w:t>
            </w:r>
          </w:p>
        </w:tc>
        <w:tc>
          <w:tcPr>
            <w:tcW w:type="dxa" w:w="140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003B5C"/>
                <w:sz w:val="22"/>
                <w:szCs w:val="22"/>
              </w:rPr>
              <w:t xml:space="preserve">81</w:t>
            </w:r>
          </w:p>
        </w:tc>
        <w:tc>
          <w:tcPr>
            <w:tcW w:type="dxa" w:w="140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
            </w:r>
          </w:p>
        </w:tc>
        <w:tc>
          <w:tcPr>
            <w:tcW w:type="dxa" w:w="140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right"/>
            </w:pPr>
            <w:r>
              <w:rPr>
                <w:rFonts w:ascii="Arial" w:cs="Arial" w:eastAsia="Arial" w:hAnsi="Arial"/>
                <w:b/>
                <w:bCs/>
                <w:i w:val="false"/>
                <w:iCs w:val="false"/>
                <w:color w:val="17C662"/>
                <w:sz w:val="22"/>
                <w:szCs w:val="22"/>
              </w:rPr>
              <w:t xml:space="preserve">$13,365.00</w:t>
            </w:r>
          </w:p>
        </w:tc>
      </w:tr>
    </w:tbl>
    <w:p>
      <w:pPr>
        <w:keepNext/>
        <w:keepLines/>
        <w:spacing w:after="80" w:before="200"/>
      </w:pPr>
      <w:r>
        <w:rPr>
          <w:rFonts w:ascii="Arial" w:cs="Arial" w:eastAsia="Arial" w:hAnsi="Arial"/>
          <w:b/>
          <w:bCs/>
          <w:color w:val="003B5C"/>
          <w:sz w:val="22"/>
          <w:szCs w:val="22"/>
        </w:rPr>
        <w:t xml:space="preserve">Payment Terms</w:t>
      </w:r>
    </w:p>
    <w:p>
      <w:pPr>
        <w:pStyle w:val="ListParagraph"/>
        <w:keepNext/>
        <w:keepLines/>
        <w:numPr>
          <w:ilvl w:val="0"/>
          <w:numId w:val="2"/>
        </w:numPr>
        <w:spacing w:after="80"/>
      </w:pPr>
      <w:r>
        <w:rPr>
          <w:rFonts w:ascii="Arial" w:cs="Arial" w:eastAsia="Arial" w:hAnsi="Arial"/>
          <w:color w:val="1F1F1F"/>
          <w:sz w:val="20"/>
          <w:szCs w:val="20"/>
        </w:rPr>
        <w:t xml:space="preserve">50% invoiced upon SOW signature (mobilization).</w:t>
      </w:r>
    </w:p>
    <w:p>
      <w:pPr>
        <w:pStyle w:val="ListParagraph"/>
        <w:keepNext/>
        <w:keepLines/>
        <w:numPr>
          <w:ilvl w:val="0"/>
          <w:numId w:val="2"/>
        </w:numPr>
        <w:spacing w:after="80"/>
      </w:pPr>
      <w:r>
        <w:rPr>
          <w:rFonts w:ascii="Arial" w:cs="Arial" w:eastAsia="Arial" w:hAnsi="Arial"/>
          <w:color w:val="1F1F1F"/>
          <w:sz w:val="20"/>
          <w:szCs w:val="20"/>
        </w:rPr>
        <w:t xml:space="preserve">50% invoiced upon successful completion and Customer acceptance.</w:t>
      </w:r>
    </w:p>
    <w:p>
      <w:pPr>
        <w:pStyle w:val="ListParagraph"/>
        <w:keepNext/>
        <w:keepLines/>
        <w:numPr>
          <w:ilvl w:val="0"/>
          <w:numId w:val="2"/>
        </w:numPr>
        <w:spacing w:after="80"/>
      </w:pPr>
      <w:r>
        <w:rPr>
          <w:rFonts w:ascii="Arial" w:cs="Arial" w:eastAsia="Arial" w:hAnsi="Arial"/>
          <w:color w:val="1F1F1F"/>
          <w:sz w:val="20"/>
          <w:szCs w:val="20"/>
        </w:rPr>
        <w:t xml:space="preserve">Net 30 terms. All amounts in USD.</w:t>
      </w:r>
    </w:p>
    <w:p>
      <w:pPr>
        <w:keepNext/>
        <w:keepLines/>
        <w:spacing w:after="80" w:before="200"/>
      </w:pPr>
      <w:r>
        <w:rPr>
          <w:rFonts w:ascii="Arial" w:cs="Arial" w:eastAsia="Arial" w:hAnsi="Arial"/>
          <w:b/>
          <w:bCs/>
          <w:color w:val="003B5C"/>
          <w:sz w:val="22"/>
          <w:szCs w:val="22"/>
        </w:rPr>
        <w:t xml:space="preserve">Optional Add-On Services</w:t>
      </w:r>
    </w:p>
    <w:p>
      <w:pPr>
        <w:spacing w:after="140"/>
      </w:pPr>
      <w:r>
        <w:rPr>
          <w:rFonts w:ascii="Arial" w:cs="Arial" w:eastAsia="Arial" w:hAnsi="Arial"/>
          <w:b w:val="false"/>
          <w:bCs w:val="false"/>
          <w:i w:val="false"/>
          <w:iCs w:val="false"/>
          <w:color w:val="1F1F1F"/>
          <w:sz w:val="20"/>
          <w:szCs w:val="20"/>
        </w:rPr>
        <w:t xml:space="preserve">The following services are not included in the base scope and may be added by mutual written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cantSplit/>
          <w:tblHeader/>
        </w:trPr>
        <w:tc>
          <w:tcPr>
            <w:tcW w:type="dxa" w:w="6160"/>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FFFFFF"/>
                <w:sz w:val="20"/>
                <w:szCs w:val="20"/>
              </w:rPr>
              <w:t xml:space="preserve">Optional Service</w:t>
            </w:r>
          </w:p>
        </w:tc>
        <w:tc>
          <w:tcPr>
            <w:tcW w:type="dxa" w:w="3200"/>
            <w:tcBorders>
              <w:top w:val="single" w:color="BFC7CC" w:sz="4"/>
              <w:left w:val="single" w:color="BFC7CC" w:sz="4"/>
              <w:bottom w:val="single" w:color="BFC7CC" w:sz="4"/>
              <w:right w:val="single" w:color="BFC7CC" w:sz="4"/>
            </w:tcBorders>
            <w:shd w:fill="003B5C" w:color="auto" w:val="clear"/>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FFFFFF"/>
                <w:sz w:val="20"/>
                <w:szCs w:val="20"/>
              </w:rPr>
              <w:t xml:space="preserve">Estimated Investment</w:t>
            </w:r>
          </w:p>
        </w:tc>
      </w:tr>
      <w:tr>
        <w:trPr>
          <w:cantSplit/>
        </w:trPr>
        <w:tc>
          <w:tcPr>
            <w:tcW w:type="dxa" w:w="61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Additional intents beyond 10 (Phase 2 expansion)</w:t>
            </w:r>
          </w:p>
        </w:tc>
        <w:tc>
          <w:tcPr>
            <w:tcW w:type="dxa" w:w="32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val="false"/>
                <w:bCs w:val="false"/>
                <w:i/>
                <w:iCs/>
                <w:color w:val="1F1F1F"/>
                <w:sz w:val="20"/>
                <w:szCs w:val="20"/>
              </w:rPr>
              <w:t xml:space="preserve">Quoted per scope</w:t>
            </w:r>
          </w:p>
        </w:tc>
      </w:tr>
      <w:tr>
        <w:trPr>
          <w:cantSplit/>
        </w:trPr>
        <w:tc>
          <w:tcPr>
            <w:tcW w:type="dxa" w:w="61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Additional live instructor-led training sessions (up to 20 attendees each)</w:t>
            </w:r>
          </w:p>
        </w:tc>
        <w:tc>
          <w:tcPr>
            <w:tcW w:type="dxa" w:w="32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bCs/>
                <w:i w:val="false"/>
                <w:iCs w:val="false"/>
                <w:color w:val="003B5C"/>
                <w:sz w:val="20"/>
                <w:szCs w:val="20"/>
              </w:rPr>
              <w:t xml:space="preserve">$290 per session</w:t>
            </w:r>
          </w:p>
        </w:tc>
      </w:tr>
      <w:tr>
        <w:trPr>
          <w:cantSplit/>
        </w:trPr>
        <w:tc>
          <w:tcPr>
            <w:tcW w:type="dxa" w:w="616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Post-hypercare managed services / ongoing tuning</w:t>
            </w:r>
          </w:p>
        </w:tc>
        <w:tc>
          <w:tcPr>
            <w:tcW w:type="dxa" w:w="320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center"/>
            </w:pPr>
            <w:r>
              <w:rPr>
                <w:rFonts w:ascii="Arial" w:cs="Arial" w:eastAsia="Arial" w:hAnsi="Arial"/>
                <w:b w:val="false"/>
                <w:bCs w:val="false"/>
                <w:i/>
                <w:iCs/>
                <w:color w:val="1F1F1F"/>
                <w:sz w:val="20"/>
                <w:szCs w:val="20"/>
              </w:rPr>
              <w:t xml:space="preserve">Quoted separately</w:t>
            </w:r>
          </w:p>
        </w:tc>
      </w:tr>
    </w:tbl>
    <w:p>
      <w:r>
        <w:br w:type="page"/>
      </w:r>
    </w:p>
    <w:p>
      <w:pPr>
        <w:keepNext/>
        <w:keepLines/>
        <w:pBdr>
          <w:bottom w:val="single" w:color="17C662" w:sz="12" w:space="6"/>
        </w:pBdr>
        <w:spacing w:after="180" w:before="400"/>
      </w:pPr>
      <w:r>
        <w:rPr>
          <w:rFonts w:ascii="Arial" w:cs="Arial" w:eastAsia="Arial" w:hAnsi="Arial"/>
          <w:b/>
          <w:bCs/>
          <w:color w:val="003B5C"/>
          <w:sz w:val="32"/>
          <w:szCs w:val="32"/>
        </w:rPr>
        <w:t xml:space="preserve">4. Packet Fusion Responsibilities</w:t>
      </w:r>
    </w:p>
    <w:p>
      <w:pPr>
        <w:spacing w:after="140"/>
      </w:pPr>
      <w:r>
        <w:rPr>
          <w:rFonts w:ascii="Arial" w:cs="Arial" w:eastAsia="Arial" w:hAnsi="Arial"/>
          <w:b w:val="false"/>
          <w:bCs w:val="false"/>
          <w:i w:val="false"/>
          <w:iCs w:val="false"/>
          <w:color w:val="1F1F1F"/>
          <w:sz w:val="20"/>
          <w:szCs w:val="20"/>
        </w:rPr>
        <w:t xml:space="preserve">Packet Fusion will deliver the following activities in accordance with its standard ZVA implementation methodology. The assigned Project Manager serves as the single point of contact throughout the engagement.</w:t>
      </w:r>
    </w:p>
    <w:p>
      <w:pPr>
        <w:keepNext/>
        <w:keepLines/>
        <w:spacing w:after="120" w:before="280"/>
      </w:pPr>
      <w:r>
        <w:rPr>
          <w:rFonts w:ascii="Arial" w:cs="Arial" w:eastAsia="Arial" w:hAnsi="Arial"/>
          <w:b/>
          <w:bCs/>
          <w:color w:val="003B5C"/>
          <w:sz w:val="26"/>
          <w:szCs w:val="26"/>
        </w:rPr>
        <w:t xml:space="preserve">4.1 Project Management</w:t>
      </w:r>
    </w:p>
    <w:p>
      <w:pPr>
        <w:spacing w:after="140"/>
      </w:pPr>
      <w:r>
        <w:rPr>
          <w:rFonts w:ascii="Arial" w:cs="Arial" w:eastAsia="Arial" w:hAnsi="Arial"/>
          <w:b w:val="false"/>
          <w:bCs w:val="false"/>
          <w:i w:val="false"/>
          <w:iCs w:val="false"/>
          <w:color w:val="1F1F1F"/>
          <w:sz w:val="20"/>
          <w:szCs w:val="20"/>
        </w:rPr>
        <w:t xml:space="preserve">Packet Fusion's Project Manager is responsible for the following:</w:t>
      </w:r>
    </w:p>
    <w:p>
      <w:pPr>
        <w:pStyle w:val="ListParagraph"/>
        <w:keepNext/>
        <w:keepLines/>
        <w:numPr>
          <w:ilvl w:val="0"/>
          <w:numId w:val="2"/>
        </w:numPr>
        <w:spacing w:after="80"/>
      </w:pPr>
      <w:r>
        <w:rPr>
          <w:rFonts w:ascii="Arial" w:cs="Arial" w:eastAsia="Arial" w:hAnsi="Arial"/>
          <w:color w:val="1F1F1F"/>
          <w:sz w:val="20"/>
          <w:szCs w:val="20"/>
        </w:rPr>
        <w:t xml:space="preserve">Oversight and facilitation of project timelines and scheduling.</w:t>
      </w:r>
    </w:p>
    <w:p>
      <w:pPr>
        <w:pStyle w:val="ListParagraph"/>
        <w:keepNext/>
        <w:keepLines/>
        <w:numPr>
          <w:ilvl w:val="0"/>
          <w:numId w:val="2"/>
        </w:numPr>
        <w:spacing w:after="80"/>
      </w:pPr>
      <w:r>
        <w:rPr>
          <w:rFonts w:ascii="Arial" w:cs="Arial" w:eastAsia="Arial" w:hAnsi="Arial"/>
          <w:color w:val="1F1F1F"/>
          <w:sz w:val="20"/>
          <w:szCs w:val="20"/>
        </w:rPr>
        <w:t xml:space="preserve">Assignment of Packet Fusion, Customer, and Zoom resources required to deliver the solution.</w:t>
      </w:r>
    </w:p>
    <w:p>
      <w:pPr>
        <w:pStyle w:val="ListParagraph"/>
        <w:keepNext/>
        <w:keepLines/>
        <w:numPr>
          <w:ilvl w:val="0"/>
          <w:numId w:val="2"/>
        </w:numPr>
        <w:spacing w:after="80"/>
      </w:pPr>
      <w:r>
        <w:rPr>
          <w:rFonts w:ascii="Arial" w:cs="Arial" w:eastAsia="Arial" w:hAnsi="Arial"/>
          <w:color w:val="1F1F1F"/>
          <w:sz w:val="20"/>
          <w:szCs w:val="20"/>
        </w:rPr>
        <w:t xml:space="preserve">Scheduling and facilitating kickoff, discovery, design, and status sessions.</w:t>
      </w:r>
    </w:p>
    <w:p>
      <w:pPr>
        <w:pStyle w:val="ListParagraph"/>
        <w:keepNext/>
        <w:keepLines/>
        <w:numPr>
          <w:ilvl w:val="0"/>
          <w:numId w:val="2"/>
        </w:numPr>
        <w:spacing w:after="80"/>
      </w:pPr>
      <w:r>
        <w:rPr>
          <w:rFonts w:ascii="Arial" w:cs="Arial" w:eastAsia="Arial" w:hAnsi="Arial"/>
          <w:color w:val="1F1F1F"/>
          <w:sz w:val="20"/>
          <w:szCs w:val="20"/>
        </w:rPr>
        <w:t xml:space="preserve">Development and maintenance of the project plan, risk register, and implementation checklist.</w:t>
      </w:r>
    </w:p>
    <w:p>
      <w:pPr>
        <w:pStyle w:val="ListParagraph"/>
        <w:keepNext/>
        <w:keepLines/>
        <w:numPr>
          <w:ilvl w:val="0"/>
          <w:numId w:val="2"/>
        </w:numPr>
        <w:spacing w:after="80"/>
      </w:pPr>
      <w:r>
        <w:rPr>
          <w:rFonts w:ascii="Arial" w:cs="Arial" w:eastAsia="Arial" w:hAnsi="Arial"/>
          <w:color w:val="1F1F1F"/>
          <w:sz w:val="20"/>
          <w:szCs w:val="20"/>
        </w:rPr>
        <w:t xml:space="preserve">Weekly status reporting, change control, issue management, and risk mitigation.</w:t>
      </w:r>
    </w:p>
    <w:p>
      <w:pPr>
        <w:pStyle w:val="ListParagraph"/>
        <w:keepNext/>
        <w:keepLines/>
        <w:numPr>
          <w:ilvl w:val="0"/>
          <w:numId w:val="2"/>
        </w:numPr>
        <w:spacing w:after="80"/>
      </w:pPr>
      <w:r>
        <w:rPr>
          <w:rFonts w:ascii="Arial" w:cs="Arial" w:eastAsia="Arial" w:hAnsi="Arial"/>
          <w:color w:val="1F1F1F"/>
          <w:sz w:val="20"/>
          <w:szCs w:val="20"/>
        </w:rPr>
        <w:t xml:space="preserve">Scheduling and managing UAT sessions and formal go-live sign-off.</w:t>
      </w:r>
    </w:p>
    <w:p>
      <w:pPr>
        <w:pStyle w:val="ListParagraph"/>
        <w:keepNext/>
        <w:keepLines/>
        <w:numPr>
          <w:ilvl w:val="0"/>
          <w:numId w:val="2"/>
        </w:numPr>
        <w:spacing w:after="80"/>
      </w:pPr>
      <w:r>
        <w:rPr>
          <w:rFonts w:ascii="Arial" w:cs="Arial" w:eastAsia="Arial" w:hAnsi="Arial"/>
          <w:color w:val="1F1F1F"/>
          <w:sz w:val="20"/>
          <w:szCs w:val="20"/>
        </w:rPr>
        <w:t xml:space="preserve">Validation of go-live completion and formal project closure.</w:t>
      </w:r>
    </w:p>
    <w:p>
      <w:pPr>
        <w:keepNext/>
        <w:keepLines/>
        <w:spacing w:after="120" w:before="280"/>
      </w:pPr>
      <w:r>
        <w:rPr>
          <w:rFonts w:ascii="Arial" w:cs="Arial" w:eastAsia="Arial" w:hAnsi="Arial"/>
          <w:b/>
          <w:bCs/>
          <w:color w:val="003B5C"/>
          <w:sz w:val="26"/>
          <w:szCs w:val="26"/>
        </w:rPr>
        <w:t xml:space="preserve">4.2 Solution Discovery &amp; Design</w:t>
      </w:r>
    </w:p>
    <w:p>
      <w:pPr>
        <w:spacing w:after="140"/>
      </w:pPr>
      <w:r>
        <w:rPr>
          <w:rFonts w:ascii="Arial" w:cs="Arial" w:eastAsia="Arial" w:hAnsi="Arial"/>
          <w:b w:val="false"/>
          <w:bCs w:val="false"/>
          <w:i w:val="false"/>
          <w:iCs w:val="false"/>
          <w:color w:val="1F1F1F"/>
          <w:sz w:val="20"/>
          <w:szCs w:val="20"/>
        </w:rPr>
        <w:t xml:space="preserve">Packet Fusion will collaborate with Customer stakeholders during discovery and design sessions and will produce the following deliverables:</w:t>
      </w:r>
    </w:p>
    <w:p>
      <w:pPr>
        <w:pStyle w:val="ListParagraph"/>
        <w:keepNext/>
        <w:keepLines/>
        <w:numPr>
          <w:ilvl w:val="0"/>
          <w:numId w:val="2"/>
        </w:numPr>
        <w:spacing w:after="80"/>
      </w:pPr>
      <w:r>
        <w:rPr>
          <w:rFonts w:ascii="Arial" w:cs="Arial" w:eastAsia="Arial" w:hAnsi="Arial"/>
          <w:color w:val="1F1F1F"/>
          <w:sz w:val="20"/>
          <w:szCs w:val="20"/>
        </w:rPr>
        <w:t xml:space="preserve">Detailed project plan with timelines, schedules, and task assignments.</w:t>
      </w:r>
    </w:p>
    <w:p>
      <w:pPr>
        <w:pStyle w:val="ListParagraph"/>
        <w:keepNext/>
        <w:keepLines/>
        <w:numPr>
          <w:ilvl w:val="0"/>
          <w:numId w:val="2"/>
        </w:numPr>
        <w:spacing w:after="80"/>
      </w:pPr>
      <w:r>
        <w:rPr>
          <w:rFonts w:ascii="Arial" w:cs="Arial" w:eastAsia="Arial" w:hAnsi="Arial"/>
          <w:color w:val="1F1F1F"/>
          <w:sz w:val="20"/>
          <w:szCs w:val="20"/>
        </w:rPr>
        <w:t xml:space="preserve">Implementation workbook documenting intents, utterances, escalation logic, knowledge-base content mapping, and customer-to-system mapping.</w:t>
      </w:r>
    </w:p>
    <w:p>
      <w:pPr>
        <w:pStyle w:val="ListParagraph"/>
        <w:keepNext/>
        <w:keepLines/>
        <w:numPr>
          <w:ilvl w:val="0"/>
          <w:numId w:val="2"/>
        </w:numPr>
        <w:spacing w:after="80"/>
      </w:pPr>
      <w:r>
        <w:rPr>
          <w:rFonts w:ascii="Arial" w:cs="Arial" w:eastAsia="Arial" w:hAnsi="Arial"/>
          <w:color w:val="1F1F1F"/>
          <w:sz w:val="20"/>
          <w:szCs w:val="20"/>
        </w:rPr>
        <w:t xml:space="preserve">Call-flow design: visual representation of the virtual agent dialog and escalation paths, submitted for pre-configuration approval.</w:t>
      </w:r>
    </w:p>
    <w:p>
      <w:pPr>
        <w:pStyle w:val="ListParagraph"/>
        <w:keepNext/>
        <w:keepLines/>
        <w:numPr>
          <w:ilvl w:val="0"/>
          <w:numId w:val="2"/>
        </w:numPr>
        <w:spacing w:after="80"/>
      </w:pPr>
      <w:r>
        <w:rPr>
          <w:rFonts w:ascii="Arial" w:cs="Arial" w:eastAsia="Arial" w:hAnsi="Arial"/>
          <w:color w:val="1F1F1F"/>
          <w:sz w:val="20"/>
          <w:szCs w:val="20"/>
        </w:rPr>
        <w:t xml:space="preserve">User Acceptance Test plan detailing test procedures and pass/fail criteria.</w:t>
      </w:r>
    </w:p>
    <w:p>
      <w:pPr>
        <w:pStyle w:val="ListParagraph"/>
        <w:keepNext/>
        <w:keepLines/>
        <w:numPr>
          <w:ilvl w:val="0"/>
          <w:numId w:val="2"/>
        </w:numPr>
        <w:spacing w:after="80"/>
      </w:pPr>
      <w:r>
        <w:rPr>
          <w:rFonts w:ascii="Arial" w:cs="Arial" w:eastAsia="Arial" w:hAnsi="Arial"/>
          <w:color w:val="1F1F1F"/>
          <w:sz w:val="20"/>
          <w:szCs w:val="20"/>
        </w:rPr>
        <w:t xml:space="preserve">Final solution design report: comprehensive document detailing system setup, configuration, and knowledge transfer to Customer administrators.</w:t>
      </w:r>
    </w:p>
    <w:p>
      <w:pPr>
        <w:keepNext/>
        <w:keepLines/>
        <w:spacing w:after="120" w:before="280"/>
      </w:pPr>
      <w:r>
        <w:rPr>
          <w:rFonts w:ascii="Arial" w:cs="Arial" w:eastAsia="Arial" w:hAnsi="Arial"/>
          <w:b/>
          <w:bCs/>
          <w:color w:val="003B5C"/>
          <w:sz w:val="26"/>
          <w:szCs w:val="26"/>
        </w:rPr>
        <w:t xml:space="preserve">4.3 Configuration &amp; Knowledge Base Integration</w:t>
      </w:r>
    </w:p>
    <w:p>
      <w:pPr>
        <w:pStyle w:val="ListParagraph"/>
        <w:keepNext/>
        <w:keepLines/>
        <w:numPr>
          <w:ilvl w:val="0"/>
          <w:numId w:val="2"/>
        </w:numPr>
        <w:spacing w:after="80"/>
      </w:pPr>
      <w:r>
        <w:rPr>
          <w:rFonts w:ascii="Arial" w:cs="Arial" w:eastAsia="Arial" w:hAnsi="Arial"/>
          <w:color w:val="1F1F1F"/>
          <w:sz w:val="20"/>
          <w:szCs w:val="20"/>
        </w:rPr>
        <w:t xml:space="preserve">Configuration of the Zoom AI Virtual Agent tenant per the approved implementation workbook.</w:t>
      </w:r>
    </w:p>
    <w:p>
      <w:pPr>
        <w:pStyle w:val="ListParagraph"/>
        <w:keepNext/>
        <w:keepLines/>
        <w:numPr>
          <w:ilvl w:val="0"/>
          <w:numId w:val="2"/>
        </w:numPr>
        <w:spacing w:after="80"/>
      </w:pPr>
      <w:r>
        <w:rPr>
          <w:rFonts w:ascii="Arial" w:cs="Arial" w:eastAsia="Arial" w:hAnsi="Arial"/>
          <w:color w:val="1F1F1F"/>
          <w:sz w:val="20"/>
          <w:szCs w:val="20"/>
        </w:rPr>
        <w:t xml:space="preserve">Build-out of Phase 1 intents (1–10), dialog flows, and prompt tuning.</w:t>
      </w:r>
    </w:p>
    <w:p>
      <w:pPr>
        <w:pStyle w:val="ListParagraph"/>
        <w:keepNext/>
        <w:keepLines/>
        <w:numPr>
          <w:ilvl w:val="0"/>
          <w:numId w:val="2"/>
        </w:numPr>
        <w:spacing w:after="80"/>
      </w:pPr>
      <w:r>
        <w:rPr>
          <w:rFonts w:ascii="Arial" w:cs="Arial" w:eastAsia="Arial" w:hAnsi="Arial"/>
          <w:color w:val="1F1F1F"/>
          <w:sz w:val="20"/>
          <w:szCs w:val="20"/>
        </w:rPr>
        <w:t xml:space="preserve">Ingestion and tuning of knowledge-base content supplied by Customer.</w:t>
      </w:r>
    </w:p>
    <w:p>
      <w:pPr>
        <w:pStyle w:val="ListParagraph"/>
        <w:keepNext/>
        <w:keepLines/>
        <w:numPr>
          <w:ilvl w:val="0"/>
          <w:numId w:val="2"/>
        </w:numPr>
        <w:spacing w:after="80"/>
      </w:pPr>
      <w:r>
        <w:rPr>
          <w:rFonts w:ascii="Arial" w:cs="Arial" w:eastAsia="Arial" w:hAnsi="Arial"/>
          <w:color w:val="1F1F1F"/>
          <w:sz w:val="20"/>
          <w:szCs w:val="20"/>
        </w:rPr>
        <w:t xml:space="preserve">Configuration of live-agent escalation to the Customer's monitoring center.</w:t>
      </w:r>
    </w:p>
    <w:p>
      <w:pPr>
        <w:pStyle w:val="ListParagraph"/>
        <w:keepNext/>
        <w:keepLines/>
        <w:numPr>
          <w:ilvl w:val="0"/>
          <w:numId w:val="2"/>
        </w:numPr>
        <w:spacing w:after="80"/>
      </w:pPr>
      <w:r>
        <w:rPr>
          <w:rFonts w:ascii="Arial" w:cs="Arial" w:eastAsia="Arial" w:hAnsi="Arial"/>
          <w:color w:val="1F1F1F"/>
          <w:sz w:val="20"/>
          <w:szCs w:val="20"/>
        </w:rPr>
        <w:t xml:space="preserve">Integration with Customer-supplied APIs for caller-to-system identification.</w:t>
      </w:r>
    </w:p>
    <w:p>
      <w:pPr>
        <w:keepNext/>
        <w:keepLines/>
        <w:spacing w:after="120" w:before="280"/>
      </w:pPr>
      <w:r>
        <w:rPr>
          <w:rFonts w:ascii="Arial" w:cs="Arial" w:eastAsia="Arial" w:hAnsi="Arial"/>
          <w:b/>
          <w:bCs/>
          <w:color w:val="003B5C"/>
          <w:sz w:val="26"/>
          <w:szCs w:val="26"/>
        </w:rPr>
        <w:t xml:space="preserve">4.4 User Acceptance Testing (UAT)</w:t>
      </w:r>
    </w:p>
    <w:p>
      <w:pPr>
        <w:spacing w:after="140"/>
      </w:pPr>
      <w:r>
        <w:rPr>
          <w:rFonts w:ascii="Arial" w:cs="Arial" w:eastAsia="Arial" w:hAnsi="Arial"/>
          <w:b w:val="false"/>
          <w:bCs w:val="false"/>
          <w:i w:val="false"/>
          <w:iCs w:val="false"/>
          <w:color w:val="1F1F1F"/>
          <w:sz w:val="20"/>
          <w:szCs w:val="20"/>
        </w:rPr>
        <w:t xml:space="preserve">Once configuration is complete, the Packet Fusion project team will coordinate a UAT event to validate approved call-flow design and virtual-agent functionality. If scope changes or additional intents are requested during UAT, additional time-and-material charges may apply and may impact the agreed implementation timeline.</w:t>
      </w:r>
    </w:p>
    <w:p>
      <w:pPr>
        <w:pStyle w:val="ListParagraph"/>
        <w:keepNext/>
        <w:keepLines/>
        <w:numPr>
          <w:ilvl w:val="0"/>
          <w:numId w:val="2"/>
        </w:numPr>
        <w:spacing w:after="80"/>
      </w:pPr>
      <w:r>
        <w:rPr>
          <w:rFonts w:ascii="Arial" w:cs="Arial" w:eastAsia="Arial" w:hAnsi="Arial"/>
          <w:color w:val="1F1F1F"/>
          <w:sz w:val="20"/>
          <w:szCs w:val="20"/>
        </w:rPr>
        <w:t xml:space="preserve">Review and test inbound virtual-agent configuration and functionality with the Customer's operations team.</w:t>
      </w:r>
    </w:p>
    <w:p>
      <w:pPr>
        <w:pStyle w:val="ListParagraph"/>
        <w:keepNext/>
        <w:keepLines/>
        <w:numPr>
          <w:ilvl w:val="0"/>
          <w:numId w:val="2"/>
        </w:numPr>
        <w:spacing w:after="80"/>
      </w:pPr>
      <w:r>
        <w:rPr>
          <w:rFonts w:ascii="Arial" w:cs="Arial" w:eastAsia="Arial" w:hAnsi="Arial"/>
          <w:color w:val="1F1F1F"/>
          <w:sz w:val="20"/>
          <w:szCs w:val="20"/>
        </w:rPr>
        <w:t xml:space="preserve">Validate intent coverage, escalation triggers, and knowledge-base responses against the UAT test plan.</w:t>
      </w:r>
    </w:p>
    <w:p>
      <w:pPr>
        <w:pStyle w:val="ListParagraph"/>
        <w:keepNext/>
        <w:keepLines/>
        <w:numPr>
          <w:ilvl w:val="0"/>
          <w:numId w:val="2"/>
        </w:numPr>
        <w:spacing w:after="80"/>
      </w:pPr>
      <w:r>
        <w:rPr>
          <w:rFonts w:ascii="Arial" w:cs="Arial" w:eastAsia="Arial" w:hAnsi="Arial"/>
          <w:color w:val="1F1F1F"/>
          <w:sz w:val="20"/>
          <w:szCs w:val="20"/>
        </w:rPr>
        <w:t xml:space="preserve">Document UAT results, defect resolution, and Customer sign-off.</w:t>
      </w:r>
    </w:p>
    <w:p>
      <w:pPr>
        <w:pStyle w:val="ListParagraph"/>
        <w:keepNext/>
        <w:keepLines/>
        <w:numPr>
          <w:ilvl w:val="0"/>
          <w:numId w:val="2"/>
        </w:numPr>
        <w:spacing w:after="80"/>
      </w:pPr>
      <w:r>
        <w:rPr>
          <w:rFonts w:ascii="Arial" w:cs="Arial" w:eastAsia="Arial" w:hAnsi="Arial"/>
          <w:color w:val="1F1F1F"/>
          <w:sz w:val="20"/>
          <w:szCs w:val="20"/>
        </w:rPr>
        <w:t xml:space="preserve">Finalize go-live date following successful UAT.</w:t>
      </w:r>
    </w:p>
    <w:p>
      <w:pPr>
        <w:keepNext/>
        <w:keepLines/>
        <w:spacing w:after="120" w:before="280"/>
      </w:pPr>
      <w:r>
        <w:rPr>
          <w:rFonts w:ascii="Arial" w:cs="Arial" w:eastAsia="Arial" w:hAnsi="Arial"/>
          <w:b/>
          <w:bCs/>
          <w:color w:val="003B5C"/>
          <w:sz w:val="26"/>
          <w:szCs w:val="26"/>
        </w:rPr>
        <w:t xml:space="preserve">4.5 Training &amp; Enablement</w:t>
      </w:r>
    </w:p>
    <w:p>
      <w:pPr>
        <w:pStyle w:val="ListParagraph"/>
        <w:keepNext/>
        <w:keepLines/>
        <w:numPr>
          <w:ilvl w:val="0"/>
          <w:numId w:val="2"/>
        </w:numPr>
        <w:spacing w:after="80"/>
      </w:pPr>
      <w:r>
        <w:rPr>
          <w:rFonts w:ascii="Arial" w:cs="Arial" w:eastAsia="Arial" w:hAnsi="Arial"/>
          <w:color w:val="1F1F1F"/>
          <w:sz w:val="20"/>
          <w:szCs w:val="20"/>
        </w:rPr>
        <w:t xml:space="preserve">Administrator training for the Customer's operations manager and designated back-office administrators covering ZVA management, intent tuning, and knowledge-base updates.</w:t>
      </w:r>
    </w:p>
    <w:p>
      <w:pPr>
        <w:pStyle w:val="ListParagraph"/>
        <w:keepNext/>
        <w:keepLines/>
        <w:numPr>
          <w:ilvl w:val="0"/>
          <w:numId w:val="2"/>
        </w:numPr>
        <w:spacing w:after="80"/>
      </w:pPr>
      <w:r>
        <w:rPr>
          <w:rFonts w:ascii="Arial" w:cs="Arial" w:eastAsia="Arial" w:hAnsi="Arial"/>
          <w:color w:val="1F1F1F"/>
          <w:sz w:val="20"/>
          <w:szCs w:val="20"/>
        </w:rPr>
        <w:t xml:space="preserve">Knowledge-transfer session for Customer's engineering staff covering troubleshooting, escalation logic, and API integration behavior.</w:t>
      </w:r>
    </w:p>
    <w:p>
      <w:pPr>
        <w:pStyle w:val="ListParagraph"/>
        <w:keepNext/>
        <w:keepLines/>
        <w:numPr>
          <w:ilvl w:val="0"/>
          <w:numId w:val="2"/>
        </w:numPr>
        <w:spacing w:after="80"/>
      </w:pPr>
      <w:r>
        <w:rPr>
          <w:rFonts w:ascii="Arial" w:cs="Arial" w:eastAsia="Arial" w:hAnsi="Arial"/>
          <w:color w:val="1F1F1F"/>
          <w:sz w:val="20"/>
          <w:szCs w:val="20"/>
        </w:rPr>
        <w:t xml:space="preserve">Training sessions are delivered remotely and recorded. Recordings and materials are provided to the Customer for future reference.</w:t>
      </w:r>
    </w:p>
    <w:p>
      <w:pPr>
        <w:keepNext/>
        <w:keepLines/>
        <w:spacing w:after="120" w:before="280"/>
      </w:pPr>
      <w:r>
        <w:rPr>
          <w:rFonts w:ascii="Arial" w:cs="Arial" w:eastAsia="Arial" w:hAnsi="Arial"/>
          <w:b/>
          <w:bCs/>
          <w:color w:val="003B5C"/>
          <w:sz w:val="26"/>
          <w:szCs w:val="26"/>
        </w:rPr>
        <w:t xml:space="preserve">4.6 Go-Live &amp; Hypercare</w:t>
      </w:r>
    </w:p>
    <w:p>
      <w:pPr>
        <w:spacing w:after="140"/>
      </w:pPr>
      <w:r>
        <w:rPr>
          <w:rFonts w:ascii="Arial" w:cs="Arial" w:eastAsia="Arial" w:hAnsi="Arial"/>
          <w:b w:val="false"/>
          <w:bCs w:val="false"/>
          <w:i w:val="false"/>
          <w:iCs w:val="false"/>
          <w:color w:val="1F1F1F"/>
          <w:sz w:val="20"/>
          <w:szCs w:val="20"/>
        </w:rPr>
        <w:t xml:space="preserve">At go-live, Packet Fusion will provide technical support and assistance with issues during cutover and the subsequent hypercare period. Hypercare includes:</w:t>
      </w:r>
    </w:p>
    <w:p>
      <w:pPr>
        <w:pStyle w:val="ListParagraph"/>
        <w:keepNext/>
        <w:keepLines/>
        <w:numPr>
          <w:ilvl w:val="0"/>
          <w:numId w:val="2"/>
        </w:numPr>
        <w:spacing w:after="80"/>
      </w:pPr>
      <w:r>
        <w:rPr>
          <w:rFonts w:ascii="Arial" w:cs="Arial" w:eastAsia="Arial" w:hAnsi="Arial"/>
          <w:color w:val="1F1F1F"/>
          <w:sz w:val="20"/>
          <w:szCs w:val="20"/>
        </w:rPr>
        <w:t xml:space="preserve">Active monitoring of virtual-agent performance and call flows.</w:t>
      </w:r>
    </w:p>
    <w:p>
      <w:pPr>
        <w:pStyle w:val="ListParagraph"/>
        <w:keepNext/>
        <w:keepLines/>
        <w:numPr>
          <w:ilvl w:val="0"/>
          <w:numId w:val="2"/>
        </w:numPr>
        <w:spacing w:after="80"/>
      </w:pPr>
      <w:r>
        <w:rPr>
          <w:rFonts w:ascii="Arial" w:cs="Arial" w:eastAsia="Arial" w:hAnsi="Arial"/>
          <w:color w:val="1F1F1F"/>
          <w:sz w:val="20"/>
          <w:szCs w:val="20"/>
        </w:rPr>
        <w:t xml:space="preserve">Rapid triage and resolution of production issues.</w:t>
      </w:r>
    </w:p>
    <w:p>
      <w:pPr>
        <w:pStyle w:val="ListParagraph"/>
        <w:keepNext/>
        <w:keepLines/>
        <w:numPr>
          <w:ilvl w:val="0"/>
          <w:numId w:val="2"/>
        </w:numPr>
        <w:spacing w:after="80"/>
      </w:pPr>
      <w:r>
        <w:rPr>
          <w:rFonts w:ascii="Arial" w:cs="Arial" w:eastAsia="Arial" w:hAnsi="Arial"/>
          <w:color w:val="1F1F1F"/>
          <w:sz w:val="20"/>
          <w:szCs w:val="20"/>
        </w:rPr>
        <w:t xml:space="preserve">Intent tuning based on live traffic observations.</w:t>
      </w:r>
    </w:p>
    <w:p>
      <w:pPr>
        <w:pStyle w:val="ListParagraph"/>
        <w:keepNext/>
        <w:keepLines/>
        <w:numPr>
          <w:ilvl w:val="0"/>
          <w:numId w:val="2"/>
        </w:numPr>
        <w:spacing w:after="80"/>
      </w:pPr>
      <w:r>
        <w:rPr>
          <w:rFonts w:ascii="Arial" w:cs="Arial" w:eastAsia="Arial" w:hAnsi="Arial"/>
          <w:color w:val="1F1F1F"/>
          <w:sz w:val="20"/>
          <w:szCs w:val="20"/>
        </w:rPr>
        <w:t xml:space="preserve">Knowledge transfer and formal handover to the Customer's internal team at end of hypercare.</w:t>
      </w:r>
    </w:p>
    <w:p>
      <w:r>
        <w:br w:type="page"/>
      </w:r>
    </w:p>
    <w:p>
      <w:pPr>
        <w:keepNext/>
        <w:keepLines/>
        <w:pBdr>
          <w:bottom w:val="single" w:color="17C662" w:sz="12" w:space="6"/>
        </w:pBdr>
        <w:spacing w:after="180" w:before="400"/>
      </w:pPr>
      <w:r>
        <w:rPr>
          <w:rFonts w:ascii="Arial" w:cs="Arial" w:eastAsia="Arial" w:hAnsi="Arial"/>
          <w:b/>
          <w:bCs/>
          <w:color w:val="003B5C"/>
          <w:sz w:val="32"/>
          <w:szCs w:val="32"/>
        </w:rPr>
        <w:t xml:space="preserve">5. Assumptions &amp; Customer Responsibilities</w:t>
      </w:r>
    </w:p>
    <w:p>
      <w:pPr>
        <w:keepNext/>
        <w:keepLines/>
        <w:spacing w:after="120" w:before="280"/>
      </w:pPr>
      <w:r>
        <w:rPr>
          <w:rFonts w:ascii="Arial" w:cs="Arial" w:eastAsia="Arial" w:hAnsi="Arial"/>
          <w:b/>
          <w:bCs/>
          <w:color w:val="003B5C"/>
          <w:sz w:val="26"/>
          <w:szCs w:val="26"/>
        </w:rPr>
        <w:t xml:space="preserve">5.1 Customer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API Connection Details</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Customer will forward API connection details for all systems the virtual agent must query for caller-to-system identification.</w:t>
            </w:r>
          </w:p>
        </w:tc>
      </w:tr>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Customer-to-System Mapping</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Customer will provide a complete list of customers mapped to the systems in use, in a format agreed during Discovery.</w:t>
            </w:r>
          </w:p>
        </w:tc>
      </w:tr>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Knowledge Base Content</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Customer will supply system-specific self-help instructions and FAQ content to be ingested into the virtual agent's knowledge base.</w:t>
            </w:r>
          </w:p>
        </w:tc>
      </w:tr>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Program / Platform Owner</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Joseph McGugan</w:t>
            </w:r>
          </w:p>
        </w:tc>
      </w:tr>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Sandbox / Test Environment</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Not provided by Customer. Testing will be conducted in the production ZVA tenant using controlled test traffic prior to cutover.</w:t>
            </w:r>
          </w:p>
        </w:tc>
      </w:tr>
      <w:tr>
        <w:trPr>
          <w:cantSplit/>
        </w:trPr>
        <w:tc>
          <w:tcPr>
            <w:tcW w:type="dxa" w:w="3120"/>
            <w:tcBorders>
              <w:top w:val="single" w:color="BFC7CC" w:sz="4"/>
              <w:left w:val="single" w:color="BFC7CC" w:sz="4"/>
              <w:bottom w:val="single" w:color="BFC7CC" w:sz="4"/>
              <w:right w:val="single" w:color="BFC7CC" w:sz="4"/>
            </w:tcBorders>
            <w:shd w:fill="D9E1E2" w:color="auto" w:val="clear"/>
            <w:tcMar>
              <w:top w:type="dxa" w:w="100"/>
              <w:left w:type="dxa" w:w="140"/>
              <w:bottom w:type="dxa" w:w="100"/>
              <w:right w:type="dxa" w:w="140"/>
            </w:tcMar>
            <w:vAlign w:val="center"/>
          </w:tcPr>
          <w:p>
            <w:pPr>
              <w:spacing w:after="0"/>
              <w:jc w:val="left"/>
            </w:pPr>
            <w:r>
              <w:rPr>
                <w:rFonts w:ascii="Arial" w:cs="Arial" w:eastAsia="Arial" w:hAnsi="Arial"/>
                <w:b/>
                <w:bCs/>
                <w:i w:val="false"/>
                <w:iCs w:val="false"/>
                <w:color w:val="003B5C"/>
                <w:sz w:val="20"/>
                <w:szCs w:val="20"/>
              </w:rPr>
              <w:t xml:space="preserve">Customer Sign-off Role</w:t>
            </w:r>
          </w:p>
        </w:tc>
        <w:tc>
          <w:tcPr>
            <w:tcW w:type="dxa" w:w="6240"/>
            <w:tcBorders>
              <w:top w:val="single" w:color="BFC7CC" w:sz="4"/>
              <w:left w:val="single" w:color="BFC7CC" w:sz="4"/>
              <w:bottom w:val="single" w:color="BFC7CC" w:sz="4"/>
              <w:right w:val="single" w:color="BFC7CC" w:sz="4"/>
            </w:tcBorders>
            <w:tcMar>
              <w:top w:type="dxa" w:w="100"/>
              <w:left w:type="dxa" w:w="140"/>
              <w:bottom w:type="dxa" w:w="100"/>
              <w:right w:type="dxa" w:w="140"/>
            </w:tcMar>
            <w:vAlign w:val="center"/>
          </w:tcPr>
          <w:p>
            <w:pPr>
              <w:spacing w:after="0"/>
              <w:jc w:val="left"/>
            </w:pPr>
            <w:r>
              <w:rPr>
                <w:rFonts w:ascii="Arial" w:cs="Arial" w:eastAsia="Arial" w:hAnsi="Arial"/>
                <w:b w:val="false"/>
                <w:bCs w:val="false"/>
                <w:i w:val="false"/>
                <w:iCs w:val="false"/>
                <w:color w:val="1F1F1F"/>
                <w:sz w:val="20"/>
                <w:szCs w:val="20"/>
              </w:rPr>
              <w:t xml:space="preserve">Operations Manager</w:t>
            </w:r>
          </w:p>
        </w:tc>
      </w:tr>
    </w:tbl>
    <w:p>
      <w:pPr>
        <w:keepNext/>
        <w:keepLines/>
        <w:spacing w:after="120" w:before="280"/>
      </w:pPr>
      <w:r>
        <w:rPr>
          <w:rFonts w:ascii="Arial" w:cs="Arial" w:eastAsia="Arial" w:hAnsi="Arial"/>
          <w:b/>
          <w:bCs/>
          <w:color w:val="003B5C"/>
          <w:sz w:val="26"/>
          <w:szCs w:val="26"/>
        </w:rPr>
        <w:t xml:space="preserve">5.2 Customer Responsibilities</w:t>
      </w:r>
    </w:p>
    <w:p>
      <w:pPr>
        <w:spacing w:after="140"/>
      </w:pPr>
      <w:r>
        <w:rPr>
          <w:rFonts w:ascii="Arial" w:cs="Arial" w:eastAsia="Arial" w:hAnsi="Arial"/>
          <w:b w:val="false"/>
          <w:bCs w:val="false"/>
          <w:i w:val="false"/>
          <w:iCs w:val="false"/>
          <w:color w:val="1F1F1F"/>
          <w:sz w:val="20"/>
          <w:szCs w:val="20"/>
        </w:rPr>
        <w:t xml:space="preserve">The Customer is responsible for aspects not specifically included in this SOW, including:</w:t>
      </w:r>
    </w:p>
    <w:p>
      <w:pPr>
        <w:pStyle w:val="ListParagraph"/>
        <w:keepNext/>
        <w:keepLines/>
        <w:numPr>
          <w:ilvl w:val="0"/>
          <w:numId w:val="2"/>
        </w:numPr>
        <w:spacing w:after="80"/>
      </w:pPr>
      <w:r>
        <w:rPr>
          <w:rFonts w:ascii="Arial" w:cs="Arial" w:eastAsia="Arial" w:hAnsi="Arial"/>
          <w:color w:val="1F1F1F"/>
          <w:sz w:val="20"/>
          <w:szCs w:val="20"/>
        </w:rPr>
        <w:t xml:space="preserve">Providing timely access to key stakeholders for discovery, design, UAT, and training sessions.</w:t>
      </w:r>
    </w:p>
    <w:p>
      <w:pPr>
        <w:pStyle w:val="ListParagraph"/>
        <w:keepNext/>
        <w:keepLines/>
        <w:numPr>
          <w:ilvl w:val="0"/>
          <w:numId w:val="2"/>
        </w:numPr>
        <w:spacing w:after="80"/>
      </w:pPr>
      <w:r>
        <w:rPr>
          <w:rFonts w:ascii="Arial" w:cs="Arial" w:eastAsia="Arial" w:hAnsi="Arial"/>
          <w:color w:val="1F1F1F"/>
          <w:sz w:val="20"/>
          <w:szCs w:val="20"/>
        </w:rPr>
        <w:t xml:space="preserve">Designating a project sponsor with authority to make scope and prioritization decisions.</w:t>
      </w:r>
    </w:p>
    <w:p>
      <w:pPr>
        <w:pStyle w:val="ListParagraph"/>
        <w:keepNext/>
        <w:keepLines/>
        <w:numPr>
          <w:ilvl w:val="0"/>
          <w:numId w:val="2"/>
        </w:numPr>
        <w:spacing w:after="80"/>
      </w:pPr>
      <w:r>
        <w:rPr>
          <w:rFonts w:ascii="Arial" w:cs="Arial" w:eastAsia="Arial" w:hAnsi="Arial"/>
          <w:color w:val="1F1F1F"/>
          <w:sz w:val="20"/>
          <w:szCs w:val="20"/>
        </w:rPr>
        <w:t xml:space="preserve">Supplying all knowledge-base content, call scripts, and pre-recorded greetings/prompts required by the virtual agent.</w:t>
      </w:r>
    </w:p>
    <w:p>
      <w:pPr>
        <w:pStyle w:val="ListParagraph"/>
        <w:keepNext/>
        <w:keepLines/>
        <w:numPr>
          <w:ilvl w:val="0"/>
          <w:numId w:val="2"/>
        </w:numPr>
        <w:spacing w:after="80"/>
      </w:pPr>
      <w:r>
        <w:rPr>
          <w:rFonts w:ascii="Arial" w:cs="Arial" w:eastAsia="Arial" w:hAnsi="Arial"/>
          <w:color w:val="1F1F1F"/>
          <w:sz w:val="20"/>
          <w:szCs w:val="20"/>
        </w:rPr>
        <w:t xml:space="preserve">Providing and maintaining the customer-to-system mapping data.</w:t>
      </w:r>
    </w:p>
    <w:p>
      <w:pPr>
        <w:pStyle w:val="ListParagraph"/>
        <w:keepNext/>
        <w:keepLines/>
        <w:numPr>
          <w:ilvl w:val="0"/>
          <w:numId w:val="2"/>
        </w:numPr>
        <w:spacing w:after="80"/>
      </w:pPr>
      <w:r>
        <w:rPr>
          <w:rFonts w:ascii="Arial" w:cs="Arial" w:eastAsia="Arial" w:hAnsi="Arial"/>
          <w:color w:val="1F1F1F"/>
          <w:sz w:val="20"/>
          <w:szCs w:val="20"/>
        </w:rPr>
        <w:t xml:space="preserve">Maintaining the Customer's existing Zoom Phone infrastructure and licensing during this engagement.</w:t>
      </w:r>
    </w:p>
    <w:p>
      <w:pPr>
        <w:pStyle w:val="ListParagraph"/>
        <w:keepNext/>
        <w:keepLines/>
        <w:numPr>
          <w:ilvl w:val="0"/>
          <w:numId w:val="2"/>
        </w:numPr>
        <w:spacing w:after="80"/>
      </w:pPr>
      <w:r>
        <w:rPr>
          <w:rFonts w:ascii="Arial" w:cs="Arial" w:eastAsia="Arial" w:hAnsi="Arial"/>
          <w:color w:val="1F1F1F"/>
          <w:sz w:val="20"/>
          <w:szCs w:val="20"/>
        </w:rPr>
        <w:t xml:space="preserve">Ensuring API endpoints to be consumed by the virtual agent are available, documented, and authenticated.</w:t>
      </w:r>
    </w:p>
    <w:p>
      <w:pPr>
        <w:pStyle w:val="ListParagraph"/>
        <w:keepNext/>
        <w:keepLines/>
        <w:numPr>
          <w:ilvl w:val="0"/>
          <w:numId w:val="2"/>
        </w:numPr>
        <w:spacing w:after="80"/>
      </w:pPr>
      <w:r>
        <w:rPr>
          <w:rFonts w:ascii="Arial" w:cs="Arial" w:eastAsia="Arial" w:hAnsi="Arial"/>
          <w:color w:val="1F1F1F"/>
          <w:sz w:val="20"/>
          <w:szCs w:val="20"/>
        </w:rPr>
        <w:t xml:space="preserve">Managing end-user change management and internal communications.</w:t>
      </w:r>
    </w:p>
    <w:p>
      <w:pPr>
        <w:pStyle w:val="ListParagraph"/>
        <w:keepNext/>
        <w:keepLines/>
        <w:numPr>
          <w:ilvl w:val="0"/>
          <w:numId w:val="2"/>
        </w:numPr>
        <w:spacing w:after="80"/>
      </w:pPr>
      <w:r>
        <w:rPr>
          <w:rFonts w:ascii="Arial" w:cs="Arial" w:eastAsia="Arial" w:hAnsi="Arial"/>
          <w:color w:val="1F1F1F"/>
          <w:sz w:val="20"/>
          <w:szCs w:val="20"/>
        </w:rPr>
        <w:t xml:space="preserve">Reviewing and approving configuration workbooks, call-flow designs, and test results within agreed SLAs.</w:t>
      </w:r>
    </w:p>
    <w:p>
      <w:pPr>
        <w:keepNext/>
        <w:keepLines/>
        <w:spacing w:after="120" w:before="280"/>
      </w:pPr>
      <w:r>
        <w:rPr>
          <w:rFonts w:ascii="Arial" w:cs="Arial" w:eastAsia="Arial" w:hAnsi="Arial"/>
          <w:b/>
          <w:bCs/>
          <w:color w:val="003B5C"/>
          <w:sz w:val="26"/>
          <w:szCs w:val="26"/>
        </w:rPr>
        <w:t xml:space="preserve">5.3 Out of Scope</w:t>
      </w:r>
    </w:p>
    <w:p>
      <w:pPr>
        <w:spacing w:after="140"/>
      </w:pPr>
      <w:r>
        <w:rPr>
          <w:rFonts w:ascii="Arial" w:cs="Arial" w:eastAsia="Arial" w:hAnsi="Arial"/>
          <w:b w:val="false"/>
          <w:bCs w:val="false"/>
          <w:i w:val="false"/>
          <w:iCs w:val="false"/>
          <w:color w:val="1F1F1F"/>
          <w:sz w:val="20"/>
          <w:szCs w:val="20"/>
        </w:rPr>
        <w:t xml:space="preserve">The following are not included in this SOW and, if required, will be addressed by separate written agreement:</w:t>
      </w:r>
    </w:p>
    <w:p>
      <w:pPr>
        <w:pStyle w:val="ListParagraph"/>
        <w:keepNext/>
        <w:keepLines/>
        <w:numPr>
          <w:ilvl w:val="0"/>
          <w:numId w:val="2"/>
        </w:numPr>
        <w:spacing w:after="80"/>
      </w:pPr>
      <w:r>
        <w:rPr>
          <w:rFonts w:ascii="Arial" w:cs="Arial" w:eastAsia="Arial" w:hAnsi="Arial"/>
          <w:color w:val="1F1F1F"/>
          <w:sz w:val="20"/>
          <w:szCs w:val="20"/>
        </w:rPr>
        <w:t xml:space="preserve">Modifications to the Customer's existing Zoom Phone infrastructure, dial plan, or call routing outside the virtual-agent flow.</w:t>
      </w:r>
    </w:p>
    <w:p>
      <w:pPr>
        <w:pStyle w:val="ListParagraph"/>
        <w:keepNext/>
        <w:keepLines/>
        <w:numPr>
          <w:ilvl w:val="0"/>
          <w:numId w:val="2"/>
        </w:numPr>
        <w:spacing w:after="80"/>
      </w:pPr>
      <w:r>
        <w:rPr>
          <w:rFonts w:ascii="Arial" w:cs="Arial" w:eastAsia="Arial" w:hAnsi="Arial"/>
          <w:color w:val="1F1F1F"/>
          <w:sz w:val="20"/>
          <w:szCs w:val="20"/>
        </w:rPr>
        <w:t xml:space="preserve">Non-voice channels (chat, SMS, email, web) — may be added in a future phase.</w:t>
      </w:r>
    </w:p>
    <w:p>
      <w:pPr>
        <w:pStyle w:val="ListParagraph"/>
        <w:keepNext/>
        <w:keepLines/>
        <w:numPr>
          <w:ilvl w:val="0"/>
          <w:numId w:val="2"/>
        </w:numPr>
        <w:spacing w:after="80"/>
      </w:pPr>
      <w:r>
        <w:rPr>
          <w:rFonts w:ascii="Arial" w:cs="Arial" w:eastAsia="Arial" w:hAnsi="Arial"/>
          <w:color w:val="1F1F1F"/>
          <w:sz w:val="20"/>
          <w:szCs w:val="20"/>
        </w:rPr>
        <w:t xml:space="preserve">Additional intents beyond the Phase 1 range of 1–10.</w:t>
      </w:r>
    </w:p>
    <w:p>
      <w:pPr>
        <w:pStyle w:val="ListParagraph"/>
        <w:keepNext/>
        <w:keepLines/>
        <w:numPr>
          <w:ilvl w:val="0"/>
          <w:numId w:val="2"/>
        </w:numPr>
        <w:spacing w:after="80"/>
      </w:pPr>
      <w:r>
        <w:rPr>
          <w:rFonts w:ascii="Arial" w:cs="Arial" w:eastAsia="Arial" w:hAnsi="Arial"/>
          <w:color w:val="1F1F1F"/>
          <w:sz w:val="20"/>
          <w:szCs w:val="20"/>
        </w:rPr>
        <w:t xml:space="preserve">CRM integrations beyond the single system-of-record identified during Discovery.</w:t>
      </w:r>
    </w:p>
    <w:p>
      <w:pPr>
        <w:pStyle w:val="ListParagraph"/>
        <w:keepNext/>
        <w:keepLines/>
        <w:numPr>
          <w:ilvl w:val="0"/>
          <w:numId w:val="2"/>
        </w:numPr>
        <w:spacing w:after="80"/>
      </w:pPr>
      <w:r>
        <w:rPr>
          <w:rFonts w:ascii="Arial" w:cs="Arial" w:eastAsia="Arial" w:hAnsi="Arial"/>
          <w:color w:val="1F1F1F"/>
          <w:sz w:val="20"/>
          <w:szCs w:val="20"/>
        </w:rPr>
        <w:t xml:space="preserve">Third-party systems not listed in scope.</w:t>
      </w:r>
    </w:p>
    <w:p>
      <w:pPr>
        <w:pStyle w:val="ListParagraph"/>
        <w:keepNext/>
        <w:keepLines/>
        <w:numPr>
          <w:ilvl w:val="0"/>
          <w:numId w:val="2"/>
        </w:numPr>
        <w:spacing w:after="80"/>
      </w:pPr>
      <w:r>
        <w:rPr>
          <w:rFonts w:ascii="Arial" w:cs="Arial" w:eastAsia="Arial" w:hAnsi="Arial"/>
          <w:color w:val="1F1F1F"/>
          <w:sz w:val="20"/>
          <w:szCs w:val="20"/>
        </w:rPr>
        <w:t xml:space="preserve">Network, firewall, or telephony remediation outside the ZVA configuration.</w:t>
      </w:r>
    </w:p>
    <w:p>
      <w:pPr>
        <w:pStyle w:val="ListParagraph"/>
        <w:keepNext/>
        <w:keepLines/>
        <w:numPr>
          <w:ilvl w:val="0"/>
          <w:numId w:val="2"/>
        </w:numPr>
        <w:spacing w:after="80"/>
      </w:pPr>
      <w:r>
        <w:rPr>
          <w:rFonts w:ascii="Arial" w:cs="Arial" w:eastAsia="Arial" w:hAnsi="Arial"/>
          <w:color w:val="1F1F1F"/>
          <w:sz w:val="20"/>
          <w:szCs w:val="20"/>
        </w:rPr>
        <w:t xml:space="preserve">Ongoing tier-1/2/3 support of the virtual agent following hypercare exit.</w:t>
      </w:r>
    </w:p>
    <w:p>
      <w:pPr>
        <w:keepNext/>
        <w:keepLines/>
        <w:spacing w:after="120" w:before="280"/>
      </w:pPr>
      <w:r>
        <w:rPr>
          <w:rFonts w:ascii="Arial" w:cs="Arial" w:eastAsia="Arial" w:hAnsi="Arial"/>
          <w:b/>
          <w:bCs/>
          <w:color w:val="003B5C"/>
          <w:sz w:val="26"/>
          <w:szCs w:val="26"/>
        </w:rPr>
        <w:t xml:space="preserve">5.4 Standard Assumptions</w:t>
      </w:r>
    </w:p>
    <w:p>
      <w:pPr>
        <w:pStyle w:val="ListParagraph"/>
        <w:keepNext/>
        <w:keepLines/>
        <w:numPr>
          <w:ilvl w:val="0"/>
          <w:numId w:val="2"/>
        </w:numPr>
        <w:spacing w:after="80"/>
      </w:pPr>
      <w:r>
        <w:rPr>
          <w:rFonts w:ascii="Arial" w:cs="Arial" w:eastAsia="Arial" w:hAnsi="Arial"/>
          <w:color w:val="1F1F1F"/>
          <w:sz w:val="20"/>
          <w:szCs w:val="20"/>
        </w:rPr>
        <w:t xml:space="preserve">All work will be performed remotely unless otherwise agreed in writing.</w:t>
      </w:r>
    </w:p>
    <w:p>
      <w:pPr>
        <w:pStyle w:val="ListParagraph"/>
        <w:keepNext/>
        <w:keepLines/>
        <w:numPr>
          <w:ilvl w:val="0"/>
          <w:numId w:val="2"/>
        </w:numPr>
        <w:spacing w:after="80"/>
      </w:pPr>
      <w:r>
        <w:rPr>
          <w:rFonts w:ascii="Arial" w:cs="Arial" w:eastAsia="Arial" w:hAnsi="Arial"/>
          <w:color w:val="1F1F1F"/>
          <w:sz w:val="20"/>
          <w:szCs w:val="20"/>
        </w:rPr>
        <w:t xml:space="preserve">This estimate is based on information available at the time of assessment and may be revised following formal Discovery.</w:t>
      </w:r>
    </w:p>
    <w:p>
      <w:pPr>
        <w:pStyle w:val="ListParagraph"/>
        <w:keepNext/>
        <w:keepLines/>
        <w:numPr>
          <w:ilvl w:val="0"/>
          <w:numId w:val="2"/>
        </w:numPr>
        <w:spacing w:after="80"/>
      </w:pPr>
      <w:r>
        <w:rPr>
          <w:rFonts w:ascii="Arial" w:cs="Arial" w:eastAsia="Arial" w:hAnsi="Arial"/>
          <w:color w:val="1F1F1F"/>
          <w:sz w:val="20"/>
          <w:szCs w:val="20"/>
        </w:rPr>
        <w:t xml:space="preserve">Pricing and effort assumptions are valid for 60 days from the date of this document.</w:t>
      </w:r>
    </w:p>
    <w:p>
      <w:pPr>
        <w:pStyle w:val="ListParagraph"/>
        <w:keepNext/>
        <w:keepLines/>
        <w:numPr>
          <w:ilvl w:val="0"/>
          <w:numId w:val="2"/>
        </w:numPr>
        <w:spacing w:after="80"/>
      </w:pPr>
      <w:r>
        <w:rPr>
          <w:rFonts w:ascii="Arial" w:cs="Arial" w:eastAsia="Arial" w:hAnsi="Arial"/>
          <w:color w:val="1F1F1F"/>
          <w:sz w:val="20"/>
          <w:szCs w:val="20"/>
        </w:rPr>
        <w:t xml:space="preserve">Customer is responsible for end-user change management and internal communications.</w:t>
      </w:r>
    </w:p>
    <w:p>
      <w:pPr>
        <w:keepNext/>
        <w:keepLines/>
        <w:spacing w:after="120" w:before="280"/>
      </w:pPr>
      <w:r>
        <w:rPr>
          <w:rFonts w:ascii="Arial" w:cs="Arial" w:eastAsia="Arial" w:hAnsi="Arial"/>
          <w:b/>
          <w:bCs/>
          <w:color w:val="003B5C"/>
          <w:sz w:val="26"/>
          <w:szCs w:val="26"/>
        </w:rPr>
        <w:t xml:space="preserve">5.5 Delays &amp; Changes</w:t>
      </w:r>
    </w:p>
    <w:p>
      <w:pPr>
        <w:spacing w:after="140"/>
      </w:pPr>
      <w:r>
        <w:rPr>
          <w:rFonts w:ascii="Arial" w:cs="Arial" w:eastAsia="Arial" w:hAnsi="Arial"/>
          <w:b w:val="false"/>
          <w:bCs w:val="false"/>
          <w:i w:val="false"/>
          <w:iCs w:val="false"/>
          <w:color w:val="1F1F1F"/>
          <w:sz w:val="20"/>
          <w:szCs w:val="20"/>
        </w:rPr>
        <w:t xml:space="preserve">Changes to this SOW shall be made only in a mutually executed written change between Packet Fusion and Customer (a "Change Order"), outlining the requested change and its effect on the Services, including without limitation the fees and the timeline as determined by mutual agreement of both parties. Any delays in the performance of consulting services or delivery of deliverables caused by the Customer — including without limitation delays in completing and returning Customer documentation required during design or UAT — may result in an adjustment of the project timeline and additional fees. Any changes or additions to the Services described in this SOW shall be requested by a Change Order and may result in additional fees.</w:t>
      </w:r>
    </w:p>
    <w:p>
      <w:r>
        <w:br w:type="page"/>
      </w:r>
    </w:p>
    <w:p>
      <w:pPr>
        <w:keepNext/>
        <w:keepLines/>
        <w:pBdr>
          <w:bottom w:val="single" w:color="17C662" w:sz="12" w:space="6"/>
        </w:pBdr>
        <w:spacing w:after="180" w:before="400"/>
      </w:pPr>
      <w:r>
        <w:rPr>
          <w:rFonts w:ascii="Arial" w:cs="Arial" w:eastAsia="Arial" w:hAnsi="Arial"/>
          <w:b/>
          <w:bCs/>
          <w:color w:val="003B5C"/>
          <w:sz w:val="32"/>
          <w:szCs w:val="32"/>
        </w:rPr>
        <w:t xml:space="preserve">6. Acceptance &amp; Sign-Off</w:t>
      </w:r>
    </w:p>
    <w:p>
      <w:pPr>
        <w:keepNext/>
        <w:keepLines/>
        <w:spacing w:after="120" w:before="280"/>
      </w:pPr>
      <w:r>
        <w:rPr>
          <w:rFonts w:ascii="Arial" w:cs="Arial" w:eastAsia="Arial" w:hAnsi="Arial"/>
          <w:b/>
          <w:bCs/>
          <w:color w:val="003B5C"/>
          <w:sz w:val="26"/>
          <w:szCs w:val="26"/>
        </w:rPr>
        <w:t xml:space="preserve">6.1 Acceptance Criteria</w:t>
      </w:r>
    </w:p>
    <w:p>
      <w:pPr>
        <w:spacing w:after="140"/>
      </w:pPr>
      <w:r>
        <w:rPr>
          <w:rFonts w:ascii="Arial" w:cs="Arial" w:eastAsia="Arial" w:hAnsi="Arial"/>
          <w:b w:val="false"/>
          <w:bCs w:val="false"/>
          <w:i w:val="false"/>
          <w:iCs w:val="false"/>
          <w:color w:val="1F1F1F"/>
          <w:sz w:val="20"/>
          <w:szCs w:val="20"/>
        </w:rPr>
        <w:t xml:space="preserve">The engagement will be deemed complete and accepted when all of the following conditions are satisfied:</w:t>
      </w:r>
    </w:p>
    <w:p>
      <w:pPr>
        <w:pStyle w:val="ListParagraph"/>
        <w:keepNext/>
        <w:keepLines/>
        <w:numPr>
          <w:ilvl w:val="0"/>
          <w:numId w:val="2"/>
        </w:numPr>
        <w:spacing w:after="80"/>
      </w:pPr>
      <w:r>
        <w:rPr>
          <w:rFonts w:ascii="Arial" w:cs="Arial" w:eastAsia="Arial" w:hAnsi="Arial"/>
          <w:color w:val="1F1F1F"/>
          <w:sz w:val="20"/>
          <w:szCs w:val="20"/>
        </w:rPr>
        <w:t xml:space="preserve">Zoom AI Virtual Agent is configured, deployed, and operational on the voice channel per the approved solution design.</w:t>
      </w:r>
    </w:p>
    <w:p>
      <w:pPr>
        <w:pStyle w:val="ListParagraph"/>
        <w:keepNext/>
        <w:keepLines/>
        <w:numPr>
          <w:ilvl w:val="0"/>
          <w:numId w:val="2"/>
        </w:numPr>
        <w:spacing w:after="80"/>
      </w:pPr>
      <w:r>
        <w:rPr>
          <w:rFonts w:ascii="Arial" w:cs="Arial" w:eastAsia="Arial" w:hAnsi="Arial"/>
          <w:color w:val="1F1F1F"/>
          <w:sz w:val="20"/>
          <w:szCs w:val="20"/>
        </w:rPr>
        <w:t xml:space="preserve">Phase 1 intents (1–10) are in production and responding to live caller traffic.</w:t>
      </w:r>
    </w:p>
    <w:p>
      <w:pPr>
        <w:pStyle w:val="ListParagraph"/>
        <w:keepNext/>
        <w:keepLines/>
        <w:numPr>
          <w:ilvl w:val="0"/>
          <w:numId w:val="2"/>
        </w:numPr>
        <w:spacing w:after="80"/>
      </w:pPr>
      <w:r>
        <w:rPr>
          <w:rFonts w:ascii="Arial" w:cs="Arial" w:eastAsia="Arial" w:hAnsi="Arial"/>
          <w:color w:val="1F1F1F"/>
          <w:sz w:val="20"/>
          <w:szCs w:val="20"/>
        </w:rPr>
        <w:t xml:space="preserve">Knowledge base is ingested and delivering system-specific self-help instructions.</w:t>
      </w:r>
    </w:p>
    <w:p>
      <w:pPr>
        <w:pStyle w:val="ListParagraph"/>
        <w:keepNext/>
        <w:keepLines/>
        <w:numPr>
          <w:ilvl w:val="0"/>
          <w:numId w:val="2"/>
        </w:numPr>
        <w:spacing w:after="80"/>
      </w:pPr>
      <w:r>
        <w:rPr>
          <w:rFonts w:ascii="Arial" w:cs="Arial" w:eastAsia="Arial" w:hAnsi="Arial"/>
          <w:color w:val="1F1F1F"/>
          <w:sz w:val="20"/>
          <w:szCs w:val="20"/>
        </w:rPr>
        <w:t xml:space="preserve">Live-agent escalation to the monitoring center is functional and verified via test calls.</w:t>
      </w:r>
    </w:p>
    <w:p>
      <w:pPr>
        <w:pStyle w:val="ListParagraph"/>
        <w:keepNext/>
        <w:keepLines/>
        <w:numPr>
          <w:ilvl w:val="0"/>
          <w:numId w:val="2"/>
        </w:numPr>
        <w:spacing w:after="80"/>
      </w:pPr>
      <w:r>
        <w:rPr>
          <w:rFonts w:ascii="Arial" w:cs="Arial" w:eastAsia="Arial" w:hAnsi="Arial"/>
          <w:color w:val="1F1F1F"/>
          <w:sz w:val="20"/>
          <w:szCs w:val="20"/>
        </w:rPr>
        <w:t xml:space="preserve">Customer-to-system mapping API integration is functional and validated.</w:t>
      </w:r>
    </w:p>
    <w:p>
      <w:pPr>
        <w:pStyle w:val="ListParagraph"/>
        <w:keepNext/>
        <w:keepLines/>
        <w:numPr>
          <w:ilvl w:val="0"/>
          <w:numId w:val="2"/>
        </w:numPr>
        <w:spacing w:after="80"/>
      </w:pPr>
      <w:r>
        <w:rPr>
          <w:rFonts w:ascii="Arial" w:cs="Arial" w:eastAsia="Arial" w:hAnsi="Arial"/>
          <w:color w:val="1F1F1F"/>
          <w:sz w:val="20"/>
          <w:szCs w:val="20"/>
        </w:rPr>
        <w:t xml:space="preserve">UAT test plan is executed and signed off by the Customer's Operations Manager.</w:t>
      </w:r>
    </w:p>
    <w:p>
      <w:pPr>
        <w:pStyle w:val="ListParagraph"/>
        <w:keepNext/>
        <w:keepLines/>
        <w:numPr>
          <w:ilvl w:val="0"/>
          <w:numId w:val="2"/>
        </w:numPr>
        <w:spacing w:after="80"/>
      </w:pPr>
      <w:r>
        <w:rPr>
          <w:rFonts w:ascii="Arial" w:cs="Arial" w:eastAsia="Arial" w:hAnsi="Arial"/>
          <w:color w:val="1F1F1F"/>
          <w:sz w:val="20"/>
          <w:szCs w:val="20"/>
        </w:rPr>
        <w:t xml:space="preserve">As-built documentation, admin guide, and runbook have been delivered.</w:t>
      </w:r>
    </w:p>
    <w:p>
      <w:pPr>
        <w:pStyle w:val="ListParagraph"/>
        <w:keepNext/>
        <w:keepLines/>
        <w:numPr>
          <w:ilvl w:val="0"/>
          <w:numId w:val="2"/>
        </w:numPr>
        <w:spacing w:after="80"/>
      </w:pPr>
      <w:r>
        <w:rPr>
          <w:rFonts w:ascii="Arial" w:cs="Arial" w:eastAsia="Arial" w:hAnsi="Arial"/>
          <w:color w:val="1F1F1F"/>
          <w:sz w:val="20"/>
          <w:szCs w:val="20"/>
        </w:rPr>
        <w:t xml:space="preserve">Hypercare period has concluded without unresolved critical issues.</w:t>
      </w:r>
    </w:p>
    <w:p>
      <w:pPr>
        <w:keepNext/>
        <w:keepLines/>
        <w:spacing w:after="120" w:before="280"/>
      </w:pPr>
      <w:r>
        <w:rPr>
          <w:rFonts w:ascii="Arial" w:cs="Arial" w:eastAsia="Arial" w:hAnsi="Arial"/>
          <w:b/>
          <w:bCs/>
          <w:color w:val="003B5C"/>
          <w:sz w:val="26"/>
          <w:szCs w:val="26"/>
        </w:rPr>
        <w:t xml:space="preserve">6.2 Signatures</w:t>
      </w:r>
    </w:p>
    <w:p>
      <w:pPr>
        <w:spacing w:after="140"/>
      </w:pPr>
      <w:r>
        <w:rPr>
          <w:rFonts w:ascii="Arial" w:cs="Arial" w:eastAsia="Arial" w:hAnsi="Arial"/>
          <w:b w:val="false"/>
          <w:bCs w:val="false"/>
          <w:i w:val="false"/>
          <w:iCs w:val="false"/>
          <w:color w:val="1F1F1F"/>
          <w:sz w:val="20"/>
          <w:szCs w:val="20"/>
        </w:rPr>
        <w:t xml:space="preserve">By signing below, the undersigned parties agree to the scope, deliverables, and effort estimates described in this Statement of Work. Packet Fusion, Inc. will proceed with resource planning and project initiation upon receipt of this signed document.</w:t>
      </w:r>
    </w:p>
    <w:p>
      <w:pPr>
        <w:pBdr>
          <w:bottom w:val="single" w:color="17C662" w:sz="12" w:space="4"/>
        </w:pBdr>
        <w:spacing w:after="240" w:before="24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640"/>
        <w:gridCol w:w="4360"/>
      </w:tblGrid>
      <w:tr>
        <w:trPr>
          <w:cantSplit/>
        </w:trPr>
        <w:tc>
          <w:tcPr>
            <w:tcW w:type="dxa" w:w="4360"/>
            <w:tcBorders>
              <w:top w:val="none" w:color="FFFFFF" w:sz="0"/>
              <w:left w:val="none" w:color="FFFFFF" w:sz="0"/>
              <w:bottom w:val="none" w:color="FFFFFF" w:sz="0"/>
              <w:right w:val="none" w:color="FFFFFF" w:sz="0"/>
            </w:tcBorders>
            <w:tcMar>
              <w:top w:type="dxa" w:w="100"/>
              <w:left w:type="dxa" w:w="0"/>
              <w:bottom w:type="dxa" w:w="100"/>
              <w:right w:type="dxa" w:w="200"/>
            </w:tcMar>
          </w:tcPr>
          <w:p>
            <w:pPr>
              <w:spacing w:after="0"/>
            </w:pPr>
            <w:r>
              <w:rPr>
                <w:rFonts w:ascii="Arial" w:cs="Arial" w:eastAsia="Arial" w:hAnsi="Arial"/>
                <w:b/>
                <w:bCs/>
                <w:color w:val="17C662"/>
                <w:spacing w:val="60"/>
                <w:sz w:val="14"/>
                <w:szCs w:val="14"/>
              </w:rPr>
              <w:t xml:space="preserve">CUSTOMER</w:t>
            </w:r>
          </w:p>
          <w:p>
            <w:pPr>
              <w:spacing w:after="0" w:before="40"/>
            </w:pPr>
            <w:r>
              <w:rPr>
                <w:rFonts w:ascii="Arial" w:cs="Arial" w:eastAsia="Arial" w:hAnsi="Arial"/>
                <w:b/>
                <w:bCs/>
                <w:color w:val="003B5C"/>
                <w:sz w:val="28"/>
                <w:szCs w:val="28"/>
              </w:rPr>
              <w:t xml:space="preserve">Nutech National</w:t>
            </w:r>
          </w:p>
          <w:p>
            <w:pPr>
              <w:pBdr>
                <w:bottom w:val="single" w:color="9AA3A8" w:sz="6" w:space="4"/>
              </w:pBdr>
              <w:spacing w:after="0" w:before="720"/>
            </w:pPr>
            <w:r>
              <w:rPr>
                <w:rFonts w:ascii="Arial" w:cs="Arial" w:eastAsia="Arial" w:hAnsi="Arial"/>
                <w:sz w:val="20"/>
                <w:szCs w:val="20"/>
              </w:rPr>
              <w:t xml:space="preserve"/>
            </w:r>
          </w:p>
          <w:p>
            <w:pPr>
              <w:spacing w:after="0" w:before="80"/>
            </w:pPr>
            <w:r>
              <w:rPr>
                <w:rFonts w:ascii="Arial" w:cs="Arial" w:eastAsia="Arial" w:hAnsi="Arial"/>
                <w:b/>
                <w:bCs/>
                <w:color w:val="555555"/>
                <w:spacing w:val="30"/>
                <w:sz w:val="14"/>
                <w:szCs w:val="14"/>
              </w:rPr>
              <w:t xml:space="preserve">AUTHORIZED SIGNATURE</w:t>
            </w:r>
          </w:p>
          <w:p>
            <w:pPr>
              <w:pBdr>
                <w:bottom w:val="single" w:color="9AA3A8" w:sz="6" w:space="4"/>
              </w:pBdr>
              <w:spacing w:after="0" w:before="540"/>
            </w:pPr>
            <w:r>
              <w:rPr>
                <w:rFonts w:ascii="Arial" w:cs="Arial" w:eastAsia="Arial" w:hAnsi="Arial"/>
                <w:sz w:val="20"/>
                <w:szCs w:val="20"/>
              </w:rPr>
              <w:t xml:space="preserve"/>
            </w:r>
          </w:p>
          <w:p>
            <w:pPr>
              <w:spacing w:after="0" w:before="80"/>
            </w:pPr>
            <w:r>
              <w:rPr>
                <w:rFonts w:ascii="Arial" w:cs="Arial" w:eastAsia="Arial" w:hAnsi="Arial"/>
                <w:b/>
                <w:bCs/>
                <w:color w:val="555555"/>
                <w:spacing w:val="30"/>
                <w:sz w:val="14"/>
                <w:szCs w:val="14"/>
              </w:rPr>
              <w:t xml:space="preserve">PRINTED NAME</w:t>
            </w:r>
          </w:p>
          <w:p>
            <w:pPr>
              <w:pBdr>
                <w:bottom w:val="single" w:color="9AA3A8" w:sz="6" w:space="4"/>
              </w:pBdr>
              <w:spacing w:after="0" w:before="540"/>
            </w:pPr>
            <w:r>
              <w:rPr>
                <w:rFonts w:ascii="Arial" w:cs="Arial" w:eastAsia="Arial" w:hAnsi="Arial"/>
                <w:sz w:val="20"/>
                <w:szCs w:val="20"/>
              </w:rPr>
              <w:t xml:space="preserve"/>
            </w:r>
          </w:p>
          <w:p>
            <w:pPr>
              <w:spacing w:after="0" w:before="80"/>
            </w:pPr>
            <w:r>
              <w:rPr>
                <w:rFonts w:ascii="Arial" w:cs="Arial" w:eastAsia="Arial" w:hAnsi="Arial"/>
                <w:b/>
                <w:bCs/>
                <w:color w:val="555555"/>
                <w:spacing w:val="30"/>
                <w:sz w:val="14"/>
                <w:szCs w:val="14"/>
              </w:rPr>
              <w:t xml:space="preserve">TITLE</w:t>
            </w:r>
          </w:p>
          <w:p>
            <w:pPr>
              <w:pBdr>
                <w:bottom w:val="single" w:color="9AA3A8" w:sz="6" w:space="4"/>
              </w:pBdr>
              <w:spacing w:after="0" w:before="540"/>
            </w:pPr>
            <w:r>
              <w:rPr>
                <w:rFonts w:ascii="Arial" w:cs="Arial" w:eastAsia="Arial" w:hAnsi="Arial"/>
                <w:sz w:val="20"/>
                <w:szCs w:val="20"/>
              </w:rPr>
              <w:t xml:space="preserve"/>
            </w:r>
          </w:p>
          <w:p>
            <w:pPr>
              <w:spacing w:after="0" w:before="80"/>
            </w:pPr>
            <w:r>
              <w:rPr>
                <w:rFonts w:ascii="Arial" w:cs="Arial" w:eastAsia="Arial" w:hAnsi="Arial"/>
                <w:b/>
                <w:bCs/>
                <w:color w:val="555555"/>
                <w:spacing w:val="30"/>
                <w:sz w:val="14"/>
                <w:szCs w:val="14"/>
              </w:rPr>
              <w:t xml:space="preserve">DATE</w:t>
            </w:r>
          </w:p>
        </w:tc>
        <w:tc>
          <w:tcPr>
            <w:tcW w:type="dxa" w:w="640"/>
            <w:tcBorders>
              <w:top w:val="none" w:color="FFFFFF" w:sz="0"/>
              <w:left w:val="none" w:color="FFFFFF" w:sz="0"/>
              <w:bottom w:val="none" w:color="FFFFFF" w:sz="0"/>
              <w:right w:val="none" w:color="FFFFFF" w:sz="0"/>
            </w:tcBorders>
          </w:tcPr>
          <w:p>
            <w:r>
              <w:t xml:space="preserve"/>
            </w:r>
          </w:p>
        </w:tc>
        <w:tc>
          <w:tcPr>
            <w:tcW w:type="dxa" w:w="436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after="0"/>
            </w:pPr>
            <w:r>
              <w:rPr>
                <w:rFonts w:ascii="Arial" w:cs="Arial" w:eastAsia="Arial" w:hAnsi="Arial"/>
                <w:b/>
                <w:bCs/>
                <w:color w:val="17C662"/>
                <w:spacing w:val="60"/>
                <w:sz w:val="14"/>
                <w:szCs w:val="14"/>
              </w:rPr>
              <w:t xml:space="preserve">SERVICE PROVIDER</w:t>
            </w:r>
          </w:p>
          <w:p>
            <w:pPr>
              <w:spacing w:after="0" w:before="40"/>
            </w:pPr>
            <w:r>
              <w:rPr>
                <w:rFonts w:ascii="Arial" w:cs="Arial" w:eastAsia="Arial" w:hAnsi="Arial"/>
                <w:b/>
                <w:bCs/>
                <w:color w:val="003B5C"/>
                <w:sz w:val="28"/>
                <w:szCs w:val="28"/>
              </w:rPr>
              <w:t xml:space="preserve">Packet Fusion, Inc.</w:t>
            </w:r>
          </w:p>
          <w:p>
            <w:pPr>
              <w:pBdr>
                <w:bottom w:val="single" w:color="9AA3A8" w:sz="6" w:space="4"/>
              </w:pBdr>
              <w:spacing w:after="0" w:before="720"/>
            </w:pPr>
            <w:r>
              <w:rPr>
                <w:rFonts w:ascii="Arial" w:cs="Arial" w:eastAsia="Arial" w:hAnsi="Arial"/>
                <w:sz w:val="20"/>
                <w:szCs w:val="20"/>
              </w:rPr>
              <w:t xml:space="preserve"/>
            </w:r>
          </w:p>
          <w:p>
            <w:pPr>
              <w:spacing w:after="0" w:before="80"/>
            </w:pPr>
            <w:r>
              <w:rPr>
                <w:rFonts w:ascii="Arial" w:cs="Arial" w:eastAsia="Arial" w:hAnsi="Arial"/>
                <w:b/>
                <w:bCs/>
                <w:color w:val="555555"/>
                <w:spacing w:val="30"/>
                <w:sz w:val="14"/>
                <w:szCs w:val="14"/>
              </w:rPr>
              <w:t xml:space="preserve">AUTHORIZED SIGNATURE</w:t>
            </w:r>
          </w:p>
          <w:p>
            <w:pPr>
              <w:pBdr>
                <w:bottom w:val="single" w:color="9AA3A8" w:sz="6" w:space="4"/>
              </w:pBdr>
              <w:spacing w:after="0" w:before="540"/>
            </w:pPr>
            <w:r>
              <w:rPr>
                <w:rFonts w:ascii="Arial" w:cs="Arial" w:eastAsia="Arial" w:hAnsi="Arial"/>
                <w:sz w:val="20"/>
                <w:szCs w:val="20"/>
              </w:rPr>
              <w:t xml:space="preserve"/>
            </w:r>
          </w:p>
          <w:p>
            <w:pPr>
              <w:spacing w:after="0" w:before="80"/>
            </w:pPr>
            <w:r>
              <w:rPr>
                <w:rFonts w:ascii="Arial" w:cs="Arial" w:eastAsia="Arial" w:hAnsi="Arial"/>
                <w:b/>
                <w:bCs/>
                <w:color w:val="555555"/>
                <w:spacing w:val="30"/>
                <w:sz w:val="14"/>
                <w:szCs w:val="14"/>
              </w:rPr>
              <w:t xml:space="preserve">PRINTED NAME</w:t>
            </w:r>
          </w:p>
          <w:p>
            <w:pPr>
              <w:pBdr>
                <w:bottom w:val="single" w:color="9AA3A8" w:sz="6" w:space="4"/>
              </w:pBdr>
              <w:spacing w:after="0" w:before="540"/>
            </w:pPr>
            <w:r>
              <w:rPr>
                <w:rFonts w:ascii="Arial" w:cs="Arial" w:eastAsia="Arial" w:hAnsi="Arial"/>
                <w:sz w:val="20"/>
                <w:szCs w:val="20"/>
              </w:rPr>
              <w:t xml:space="preserve"/>
            </w:r>
          </w:p>
          <w:p>
            <w:pPr>
              <w:spacing w:after="0" w:before="80"/>
            </w:pPr>
            <w:r>
              <w:rPr>
                <w:rFonts w:ascii="Arial" w:cs="Arial" w:eastAsia="Arial" w:hAnsi="Arial"/>
                <w:b/>
                <w:bCs/>
                <w:color w:val="555555"/>
                <w:spacing w:val="30"/>
                <w:sz w:val="14"/>
                <w:szCs w:val="14"/>
              </w:rPr>
              <w:t xml:space="preserve">TITLE</w:t>
            </w:r>
          </w:p>
          <w:p>
            <w:pPr>
              <w:pBdr>
                <w:bottom w:val="single" w:color="9AA3A8" w:sz="6" w:space="4"/>
              </w:pBdr>
              <w:spacing w:after="0" w:before="540"/>
            </w:pPr>
            <w:r>
              <w:rPr>
                <w:rFonts w:ascii="Arial" w:cs="Arial" w:eastAsia="Arial" w:hAnsi="Arial"/>
                <w:sz w:val="20"/>
                <w:szCs w:val="20"/>
              </w:rPr>
              <w:t xml:space="preserve"/>
            </w:r>
          </w:p>
          <w:p>
            <w:pPr>
              <w:spacing w:after="0" w:before="80"/>
            </w:pPr>
            <w:r>
              <w:rPr>
                <w:rFonts w:ascii="Arial" w:cs="Arial" w:eastAsia="Arial" w:hAnsi="Arial"/>
                <w:b/>
                <w:bCs/>
                <w:color w:val="555555"/>
                <w:spacing w:val="30"/>
                <w:sz w:val="14"/>
                <w:szCs w:val="14"/>
              </w:rPr>
              <w:t xml:space="preserve">DATE</w:t>
            </w:r>
          </w:p>
        </w:tc>
      </w:tr>
    </w:tbl>
    <w:p>
      <w:pPr>
        <w:spacing w:after="300"/>
      </w:pPr>
      <w:r>
        <w:t xml:space="preserve"/>
      </w:r>
    </w:p>
    <w:p>
      <w:pPr>
        <w:spacing w:after="140"/>
      </w:pPr>
      <w:r>
        <w:rPr>
          <w:rFonts w:ascii="Arial" w:cs="Arial" w:eastAsia="Arial" w:hAnsi="Arial"/>
          <w:b w:val="false"/>
          <w:bCs w:val="false"/>
          <w:i/>
          <w:iCs/>
          <w:color w:val="555555"/>
          <w:sz w:val="18"/>
          <w:szCs w:val="18"/>
        </w:rPr>
        <w:t xml:space="preserve">This SOW governs Packet Fusion's professional services only and does not supersede the Zoom Master Services Agreement or other agreements between Customer and Zoom covering the underlying platform, licensing, and ongoing platform support.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left"/>
    </w:pPr>
    <w:r>
      <w:rPr>
        <w:rFonts w:ascii="Arial" w:cs="Arial" w:eastAsia="Arial" w:hAnsi="Arial"/>
        <w:color w:val="555555"/>
        <w:sz w:val="16"/>
        <w:szCs w:val="16"/>
      </w:rPr>
      <w:t xml:space="preserve">Nutech National · Statement of Work · April 24, 2026</w:t>
    </w:r>
    <w:r>
      <w:rPr>
        <w:rFonts w:ascii="Arial" w:cs="Arial" w:eastAsia="Arial" w:hAnsi="Arial"/>
        <w:color w:val="555555"/>
        <w:sz w:val="16"/>
        <w:szCs w:val="16"/>
      </w:rPr>
      <w:t xml:space="preserve">	Packet Fusion, Inc. · Confidential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image" Target="media/67d571f342881e61e91fec6d92e286878af7c3cf.png"/><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F64FE5FA247A4993A36E4A921BE427" ma:contentTypeVersion="22" ma:contentTypeDescription="Create a new document." ma:contentTypeScope="" ma:versionID="bba6f467c09c441572da03411d414fbe">
  <xsd:schema xmlns:xsd="http://www.w3.org/2001/XMLSchema" xmlns:xs="http://www.w3.org/2001/XMLSchema" xmlns:p="http://schemas.microsoft.com/office/2006/metadata/properties" xmlns:ns1="http://schemas.microsoft.com/sharepoint/v3" xmlns:ns2="85eb117e-0e46-43e8-8429-c8c8fb4655ef" xmlns:ns3="98f0a2d9-10c1-4e74-8d3b-4fbfdd8e9582" xmlns:ns4="9bc4e544-978b-470d-b464-2913de32b392" targetNamespace="http://schemas.microsoft.com/office/2006/metadata/properties" ma:root="true" ma:fieldsID="4ce36710016f945b771ee596bc1a7469" ns1:_="" ns2:_="" ns3:_="" ns4:_="">
    <xsd:import namespace="http://schemas.microsoft.com/sharepoint/v3"/>
    <xsd:import namespace="85eb117e-0e46-43e8-8429-c8c8fb4655ef"/>
    <xsd:import namespace="98f0a2d9-10c1-4e74-8d3b-4fbfdd8e9582"/>
    <xsd:import namespace="9bc4e544-978b-470d-b464-2913de32b39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lcf76f155ced4ddcb4097134ff3c332f" minOccurs="0"/>
                <xsd:element ref="ns4:TaxCatchAll" minOccurs="0"/>
                <xsd:element ref="ns2:MediaServiceObjectDetectorVersions" minOccurs="0"/>
                <xsd:element ref="ns2:MediaServiceSearchProperties" minOccurs="0"/>
                <xsd:element ref="ns2:MediaServiceLocation" minOccurs="0"/>
                <xsd:element ref="ns2:d85425a1e825449ab477e41023a10b9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b117e-0e46-43e8-8429-c8c8fb4655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ffa040f-0199-4173-aced-ff303880791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d85425a1e825449ab477e41023a10b97" ma:index="29" nillable="true" ma:taxonomy="true" ma:internalName="d85425a1e825449ab477e41023a10b97" ma:taxonomyFieldName="Document_x0020_Tags" ma:displayName="Document Tags" ma:default="" ma:fieldId="{d85425a1-e825-449a-b477-e41023a10b97}" ma:sspId="cffa040f-0199-4173-aced-ff3038807914" ma:termSetId="22035077-2e30-450f-99ac-889a3bec24d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f0a2d9-10c1-4e74-8d3b-4fbfdd8e958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c4e544-978b-470d-b464-2913de32b392"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9f449d7-f31c-4e8f-ba57-e554e5dfd89b}" ma:internalName="TaxCatchAll" ma:showField="CatchAllData" ma:web="9bc4e544-978b-470d-b464-2913de32b3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eb117e-0e46-43e8-8429-c8c8fb4655ef">
      <Terms xmlns="http://schemas.microsoft.com/office/infopath/2007/PartnerControls"/>
    </lcf76f155ced4ddcb4097134ff3c332f>
    <TaxCatchAll xmlns="9bc4e544-978b-470d-b464-2913de32b392" xsi:nil="true"/>
    <d85425a1e825449ab477e41023a10b97 xmlns="85eb117e-0e46-43e8-8429-c8c8fb4655ef">
      <Terms xmlns="http://schemas.microsoft.com/office/infopath/2007/PartnerControls"/>
    </d85425a1e825449ab477e41023a10b97>
  </documentManagement>
</p:properties>
</file>

<file path=customXml/itemProps1.xml><?xml version="1.0" encoding="utf-8"?>
<ds:datastoreItem xmlns:ds="http://schemas.openxmlformats.org/officeDocument/2006/customXml" ds:itemID="{3FD796E9-41C5-43C2-B7E3-E57BB8255287}"/>
</file>

<file path=customXml/itemProps2.xml><?xml version="1.0" encoding="utf-8"?>
<ds:datastoreItem xmlns:ds="http://schemas.openxmlformats.org/officeDocument/2006/customXml" ds:itemID="{FF71D28D-6050-4EEC-9598-9E001FD7DA41}"/>
</file>

<file path=customXml/itemProps3.xml><?xml version="1.0" encoding="utf-8"?>
<ds:datastoreItem xmlns:ds="http://schemas.openxmlformats.org/officeDocument/2006/customXml" ds:itemID="{FBFD2010-4D50-42E2-A338-0B98F2B1ACA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Nutech National — Zoom AI Virtual Agent SOW</dc:title>
  <dc:creator>Packet Fusion</dc:creator>
  <cp:lastModifiedBy>Un-named</cp:lastModifiedBy>
  <cp:revision>1</cp:revision>
  <dcterms:created xsi:type="dcterms:W3CDTF">2026-04-25T00:48:06Z</dcterms:created>
  <dcterms:modified xsi:type="dcterms:W3CDTF">2026-04-25T00:48:06Z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0x01010001F64FE5FA247A4993A36E4A921BE427</vt:lpwstr>
  </property>
</Properties>
</file>