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b/>
          <w:color w:val="142433"/>
          <w:sz w:val="76"/>
        </w:rPr>
        <w:t>MESS</w:t>
      </w:r>
      <w:r>
        <w:rPr>
          <w:b/>
          <w:color w:val="F59A16"/>
          <w:sz w:val="52"/>
        </w:rPr>
        <w:t xml:space="preserve">  PROVIDER</w:t>
      </w:r>
    </w:p>
    <w:p>
      <w:pPr>
        <w:jc w:val="center"/>
      </w:pPr>
      <w:r>
        <w:rPr>
          <w:b/>
          <w:color w:val="142433"/>
          <w:sz w:val="34"/>
        </w:rPr>
        <w:t>PRODUCT + TECHNICAL BLUEPRINT</w:t>
      </w:r>
    </w:p>
    <w:p>
      <w:pPr>
        <w:spacing w:before="240"/>
        <w:jc w:val="center"/>
      </w:pPr>
      <w:r>
        <w:rPr>
          <w:color w:val="65737E"/>
          <w:sz w:val="22"/>
        </w:rPr>
        <w:t>Provider mobile app  •  Admin operations console  •  Shared backend</w:t>
      </w:r>
    </w:p>
    <w:p>
      <w:pPr>
        <w:spacing w:before="600"/>
        <w:jc w:val="center"/>
      </w:pPr>
      <w:r>
        <w:rPr>
          <w:color w:val="F59A16"/>
          <w:sz w:val="28"/>
        </w:rPr>
        <w:t>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1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42433"/>
                <w:sz w:val="20"/>
              </w:rPr>
              <w:t>Product principle</w:t>
            </w:r>
          </w:p>
          <w:p>
            <w:pPr>
              <w:spacing w:after="0"/>
            </w:pPr>
            <w:r>
              <w:rPr>
                <w:color w:val="65737E"/>
                <w:sz w:val="18"/>
              </w:rPr>
              <w:t>Every provider can configure their own menu, portion quantities, plan model, meal slots, special dishes and extra charges. Shared backend rules keep all provider variants safe and consistent.</w:t>
            </w:r>
          </w:p>
        </w:tc>
      </w:tr>
    </w:tbl>
    <w:p>
      <w:pPr>
        <w:spacing w:after="20"/>
      </w:pPr>
    </w:p>
    <w:p>
      <w:pPr>
        <w:spacing w:before="480"/>
        <w:jc w:val="center"/>
      </w:pPr>
      <w:r>
        <w:rPr>
          <w:color w:val="65737E"/>
          <w:sz w:val="18"/>
        </w:rPr>
        <w:t>Working handoff for Antigravity implementation</w:t>
        <w:br/>
        <w:t>25 October 2026  |  Draft for engineering review</w:t>
      </w:r>
    </w:p>
    <w:p>
      <w:r>
        <w:br w:type="page"/>
      </w:r>
    </w:p>
    <w:p>
      <w:pPr>
        <w:pStyle w:val="Heading1"/>
      </w:pPr>
      <w:r>
        <w:t>1. Product vision and scope</w:t>
      </w:r>
    </w:p>
    <w:p>
      <w:r>
        <w:t>MESS is a subscription and in-person meal-redemption platform for student messes, restaurants, canteens and home-tiffin providers. The provider registers a real business location, defines service times and menus, configures plans, then displays a provider-generated daily QR at the counter. The customer scans that QR to mark a meal.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1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42433"/>
                <w:sz w:val="20"/>
              </w:rPr>
              <w:t>Current release boundary</w:t>
            </w:r>
          </w:p>
          <w:p>
            <w:pPr>
              <w:spacing w:after="0"/>
            </w:pPr>
            <w:r>
              <w:rPr>
                <w:color w:val="65737E"/>
                <w:sz w:val="18"/>
              </w:rPr>
              <w:t>Offline meal collection only. Delivery is out of scope. The customer scans the provider QR, never the other way around.</w:t>
            </w:r>
          </w:p>
        </w:tc>
      </w:tr>
    </w:tbl>
    <w:p>
      <w:pPr>
        <w:spacing w:after="20"/>
      </w:pPr>
    </w:p>
    <w:p>
      <w:pPr>
        <w:pStyle w:val="Heading2"/>
      </w:pPr>
      <w:r>
        <w:t>Provider types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42433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3168"/>
            <w:shd w:fill="142433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Typical use</w:t>
            </w:r>
          </w:p>
        </w:tc>
        <w:tc>
          <w:tcPr>
            <w:tcW w:type="dxa" w:w="5112"/>
            <w:shd w:fill="142433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Required setup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6"/>
              </w:rPr>
              <w:t>Student mess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6"/>
              </w:rPr>
              <w:t>Recurring lunch/dinner or multiple daily slots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6"/>
              </w:rPr>
              <w:t>Location, schedule, plan rules, base thali and extras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6"/>
              </w:rPr>
              <w:t>Hotel / restaurant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6"/>
              </w:rPr>
              <w:t>Dine-in subscription and daily meals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6"/>
              </w:rPr>
              <w:t>Opening hours, menu, plan slots, daily prices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6"/>
              </w:rPr>
              <w:t>Home tiffin service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6"/>
              </w:rPr>
              <w:t>Home-cooked food served from a listed point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6"/>
              </w:rPr>
              <w:t>Owner identity, verified address and actual serving arrangements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6"/>
              </w:rPr>
              <w:t>Hostel / college canteen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6"/>
              </w:rPr>
              <w:t>Campus food operation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6"/>
              </w:rPr>
              <w:t>Campus location, opening calendar, meal slots and service limits</w:t>
            </w:r>
          </w:p>
        </w:tc>
      </w:tr>
    </w:tbl>
    <w:p>
      <w:pPr>
        <w:spacing w:after="20"/>
      </w:pPr>
    </w:p>
    <w:p>
      <w:pPr>
        <w:pStyle w:val="Heading2"/>
      </w:pPr>
      <w:r>
        <w:t>Product goals</w:t>
      </w:r>
    </w:p>
    <w:p>
      <w:pPr>
        <w:pStyle w:val="ListBullet"/>
        <w:spacing w:after="40"/>
        <w:ind w:left="317" w:hanging="173"/>
      </w:pPr>
      <w:r>
        <w:t>Easy provider registration and approval workflow with manual location entry and optional map pin.</w:t>
      </w:r>
    </w:p>
    <w:p>
      <w:pPr>
        <w:pStyle w:val="ListBullet"/>
        <w:spacing w:after="40"/>
        <w:ind w:left="317" w:hanging="173"/>
      </w:pPr>
      <w:r>
        <w:t>Flexible plan configuration without custom development for every mess.</w:t>
      </w:r>
    </w:p>
    <w:p>
      <w:pPr>
        <w:pStyle w:val="ListBullet"/>
        <w:spacing w:after="40"/>
        <w:ind w:left="317" w:hanging="173"/>
      </w:pPr>
      <w:r>
        <w:t>Accurate menu, portion, special-food and extra-serving rules.</w:t>
      </w:r>
    </w:p>
    <w:p>
      <w:pPr>
        <w:pStyle w:val="ListBullet"/>
        <w:spacing w:after="40"/>
        <w:ind w:left="317" w:hanging="173"/>
      </w:pPr>
      <w:r>
        <w:t>Counter-friendly daily QR, customer eligibility checks and a complete redemption history.</w:t>
      </w:r>
    </w:p>
    <w:p>
      <w:pPr>
        <w:pStyle w:val="ListBullet"/>
        <w:spacing w:after="40"/>
        <w:ind w:left="317" w:hanging="173"/>
      </w:pPr>
      <w:r>
        <w:t>Provider reporting that distinguishes gross sales, fees, refunds, payable amount and actually settled money.</w:t>
      </w:r>
    </w:p>
    <w:p>
      <w:pPr>
        <w:pStyle w:val="ListBullet"/>
        <w:spacing w:after="40"/>
        <w:ind w:left="317" w:hanging="173"/>
      </w:pPr>
      <w:r>
        <w:t>Restricted admin console for provider review, support, finance, audit and developer operations.</w:t>
      </w:r>
    </w:p>
    <w:p>
      <w:pPr>
        <w:pStyle w:val="Heading2"/>
      </w:pPr>
      <w:r>
        <w:t>Non-goals for first release</w:t>
      </w:r>
    </w:p>
    <w:p>
      <w:pPr>
        <w:pStyle w:val="ListBullet"/>
        <w:spacing w:after="40"/>
        <w:ind w:left="317" w:hanging="173"/>
      </w:pPr>
      <w:r>
        <w:t>Delivery routing, rider assignment and live delivery tracking.</w:t>
      </w:r>
    </w:p>
    <w:p>
      <w:pPr>
        <w:pStyle w:val="ListBullet"/>
        <w:spacing w:after="40"/>
        <w:ind w:left="317" w:hanging="173"/>
      </w:pPr>
      <w:r>
        <w:t>Fake ratings, fake customer counts or fabricated analytics.</w:t>
      </w:r>
    </w:p>
    <w:p>
      <w:pPr>
        <w:pStyle w:val="ListBullet"/>
        <w:spacing w:after="40"/>
        <w:ind w:left="317" w:hanging="173"/>
      </w:pPr>
      <w:r>
        <w:t>Local/client-side QR tokens that can redeem production meals.</w:t>
      </w:r>
    </w:p>
    <w:p>
      <w:pPr>
        <w:pStyle w:val="ListBullet"/>
        <w:spacing w:after="40"/>
        <w:ind w:left="317" w:hanging="173"/>
      </w:pPr>
      <w:r>
        <w:t>Provider-controlled approval status or client-side financial writes.</w:t>
      </w:r>
    </w:p>
    <w:p>
      <w:r>
        <w:br w:type="page"/>
      </w:r>
    </w:p>
    <w:p>
      <w:pPr>
        <w:pStyle w:val="Heading1"/>
      </w:pPr>
      <w:r>
        <w:t>2. Provider registration and first setup</w:t>
      </w:r>
    </w:p>
    <w:p>
      <w:r>
        <w:t>The onboarding wizard should feel short and guided. Keep advanced options grouped by step and allow a draft to be resumed. A provider is not discoverable and cannot accept live redemptions until required review and publication conditions pass.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691"/>
            <w:shd w:fill="142433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type="dxa" w:w="4824"/>
            <w:shd w:fill="142433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r>
              <w:rPr>
                <w:b/>
                <w:color w:val="FFFFFF"/>
                <w:sz w:val="15"/>
              </w:rPr>
              <w:t>Screen / decisions</w:t>
            </w:r>
          </w:p>
        </w:tc>
        <w:tc>
          <w:tcPr>
            <w:tcW w:type="dxa" w:w="4709"/>
            <w:shd w:fill="142433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r>
              <w:rPr>
                <w:b/>
                <w:color w:val="FFFFFF"/>
                <w:sz w:val="15"/>
              </w:rPr>
              <w:t>Server-side outcome</w:t>
            </w:r>
          </w:p>
        </w:tc>
      </w:tr>
      <w:t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1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Create owner account: email/phone + password or Google OAuth</w:t>
            </w:r>
          </w:p>
        </w:tc>
        <w:tc>
          <w:tcPr>
            <w:tcW w:type="dxa" w:w="47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Authenticated profile; verify contact; protect sessions</w:t>
            </w:r>
          </w:p>
        </w:tc>
      </w:tr>
      <w:t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2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Business type, name, owner contact, phone/email, applicable food registration</w:t>
            </w:r>
          </w:p>
        </w:tc>
        <w:tc>
          <w:tcPr>
            <w:tcW w:type="dxa" w:w="47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Draft business with owner association; required fields validated</w:t>
            </w:r>
          </w:p>
        </w:tc>
      </w:tr>
      <w:t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3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Address, locality, city, postal code, optional map pin, opening/closure schedule</w:t>
            </w:r>
          </w:p>
        </w:tc>
        <w:tc>
          <w:tcPr>
            <w:tcW w:type="dxa" w:w="47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Normalized location/hours; manual entry works if location permission denied</w:t>
            </w:r>
          </w:p>
        </w:tc>
      </w:tr>
      <w:t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4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Breakfast, lunch, evening snacks, dinner or custom slots; serving time/cutoff</w:t>
            </w:r>
          </w:p>
        </w:tc>
        <w:tc>
          <w:tcPr>
            <w:tcW w:type="dxa" w:w="47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Configured meal slots with overlap validation and local timezone</w:t>
            </w:r>
          </w:p>
        </w:tc>
      </w:tr>
      <w:t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5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Choose Fixed-period, Meal-tracker, or Both; enable daily sales per slot if offered</w:t>
            </w:r>
          </w:p>
        </w:tc>
        <w:tc>
          <w:tcPr>
            <w:tcW w:type="dxa" w:w="47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Draft plan models and daily-meal capability</w:t>
            </w:r>
          </w:p>
        </w:tc>
      </w:tr>
      <w:t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6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Durations, prices, included slots, credits, policies and optional discounts</w:t>
            </w:r>
          </w:p>
        </w:tc>
        <w:tc>
          <w:tcPr>
            <w:tcW w:type="dxa" w:w="47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Plan drafts; no publish before validation</w:t>
            </w:r>
          </w:p>
        </w:tc>
      </w:tr>
      <w:t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7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Menu catalogue, base portions, special dishes, extras, substitutions and stock</w:t>
            </w:r>
          </w:p>
        </w:tc>
        <w:tc>
          <w:tcPr>
            <w:tcW w:type="dxa" w:w="47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Daily menu/plan inclusion draft with price snapshots</w:t>
            </w:r>
          </w:p>
        </w:tc>
      </w:tr>
      <w:t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8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Offers, customer-facing preview, terms and commission acceptance</w:t>
            </w:r>
          </w:p>
        </w:tc>
        <w:tc>
          <w:tcPr>
            <w:tcW w:type="dxa" w:w="47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Offer drafts and recorded accepted agreement version</w:t>
            </w:r>
          </w:p>
        </w:tc>
      </w:tr>
      <w:t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9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Submit business for review</w:t>
            </w:r>
          </w:p>
        </w:tc>
        <w:tc>
          <w:tcPr>
            <w:tcW w:type="dxa" w:w="47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Application status; admin review and audited decision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1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42433"/>
                <w:sz w:val="20"/>
              </w:rPr>
              <w:t>Review states</w:t>
            </w:r>
          </w:p>
          <w:p>
            <w:pPr>
              <w:spacing w:after="0"/>
            </w:pPr>
            <w:r>
              <w:rPr>
                <w:color w:val="65737E"/>
                <w:sz w:val="18"/>
              </w:rPr>
              <w:t>Draft → Submitted → In review → Approved / Needs changes / Rejected / Suspended. Only an approved and published business may appear in public discovery. Owners cannot self-approve or self-publish by editing a row.</w:t>
            </w:r>
          </w:p>
        </w:tc>
      </w:tr>
    </w:tbl>
    <w:p>
      <w:pPr>
        <w:spacing w:after="20"/>
      </w:pPr>
    </w:p>
    <w:p>
      <w:pPr>
        <w:pStyle w:val="Heading2"/>
      </w:pPr>
      <w:r>
        <w:t>Staff permissions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142433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type="dxa" w:w="4032"/>
            <w:shd w:fill="142433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r>
              <w:rPr>
                <w:b/>
                <w:color w:val="FFFFFF"/>
                <w:sz w:val="15"/>
              </w:rPr>
              <w:t>May do</w:t>
            </w:r>
          </w:p>
        </w:tc>
        <w:tc>
          <w:tcPr>
            <w:tcW w:type="dxa" w:w="4608"/>
            <w:shd w:fill="142433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r>
              <w:rPr>
                <w:b/>
                <w:color w:val="FFFFFF"/>
                <w:sz w:val="15"/>
              </w:rPr>
              <w:t>Should not do by default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Owner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Business, plans, menu, offers, team, reports and verified payout workflow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Bypass review or alter completed ledger entries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Manager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Daily menu, slot operations, attendance and customer issues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Owner transfer, bank change or unrestricted finance controls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Cashier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Display today’s QR and see minimal redemption result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Plan pricing, payout, full customer profile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Menu editor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Items, portions, daily menu and sold-out status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Payments, settlements or role changes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Finance viewer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Scoped ledger and settlement report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Change prices or approve own sensitive payout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Plans, slots, menus and portions</w:t>
      </w:r>
    </w:p>
    <w:p>
      <w:pPr>
        <w:pStyle w:val="Heading2"/>
      </w:pPr>
      <w:r>
        <w:t>Subscription models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142433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type="dxa" w:w="3600"/>
            <w:shd w:fill="142433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What customer buys</w:t>
            </w:r>
          </w:p>
        </w:tc>
        <w:tc>
          <w:tcPr>
            <w:tcW w:type="dxa" w:w="4968"/>
            <w:shd w:fill="142433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Redemption effect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6"/>
              </w:rPr>
              <w:t>Fixed-period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6"/>
              </w:rPr>
              <w:t>Access for 15 days, 1 month, 3 months, 6 months or 12 months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6"/>
              </w:rPr>
              <w:t>Record valid attendance; do not deduct a meal credit. Still enforce eligible slots and daily limits.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6"/>
              </w:rPr>
              <w:t>Meal-tracker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6"/>
              </w:rPr>
              <w:t>A defined number of meals plus an expiry date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6"/>
              </w:rPr>
              <w:t>Skip day = zero deduction. Successful eligible redemption = exactly one credit deducted. Stop at the first applicable limit.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6"/>
              </w:rPr>
              <w:t>Daily meal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6"/>
              </w:rPr>
              <w:t>A single meal in a configured date/slot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6"/>
              </w:rPr>
              <w:t>Create entitlement only after verified payment. Bind to customer, provider, date and slot; redeem once.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1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42433"/>
                <w:sz w:val="20"/>
              </w:rPr>
              <w:t>Pricing policy</w:t>
            </w:r>
          </w:p>
          <w:p>
            <w:pPr>
              <w:spacing w:after="0"/>
            </w:pPr>
            <w:r>
              <w:rPr>
                <w:color w:val="65737E"/>
                <w:sz w:val="18"/>
              </w:rPr>
              <w:t>Providers configure their own prices. A 15-day / 1 / 3 / 6 / 12-month price is a provider-approved value, not a system default. Longer-term discount savings must compare against a real approved reference price.</w:t>
            </w:r>
          </w:p>
        </w:tc>
      </w:tr>
    </w:tbl>
    <w:p>
      <w:pPr>
        <w:spacing w:after="20"/>
      </w:pPr>
    </w:p>
    <w:p>
      <w:pPr>
        <w:pStyle w:val="Heading2"/>
      </w:pPr>
      <w:r>
        <w:t>Meal slot configuration</w:t>
      </w:r>
    </w:p>
    <w:p>
      <w:pPr>
        <w:pStyle w:val="ListBullet"/>
        <w:spacing w:after="40"/>
        <w:ind w:left="317" w:hanging="173"/>
      </w:pPr>
      <w:r>
        <w:t>Name and code: breakfast, lunch, evening snacks, dinner or custom.</w:t>
      </w:r>
    </w:p>
    <w:p>
      <w:pPr>
        <w:pStyle w:val="ListBullet"/>
        <w:spacing w:after="40"/>
        <w:ind w:left="317" w:hanging="173"/>
      </w:pPr>
      <w:r>
        <w:t>Serving start/end, last redemption time, allowed weekdays, holidays and daily limits.</w:t>
      </w:r>
    </w:p>
    <w:p>
      <w:pPr>
        <w:pStyle w:val="ListBullet"/>
        <w:spacing w:after="40"/>
        <w:ind w:left="317" w:hanging="173"/>
      </w:pPr>
      <w:r>
        <w:t>Provider timezone and service date: use Asia/Kolkata for Indian operations.</w:t>
      </w:r>
    </w:p>
    <w:p>
      <w:pPr>
        <w:pStyle w:val="ListBullet"/>
        <w:spacing w:after="40"/>
        <w:ind w:left="317" w:hanging="173"/>
      </w:pPr>
      <w:r>
        <w:t>Prevent ambiguous overlapping slots; if overlap remains, return a clear slot choice rather than silently guessing.</w:t>
      </w:r>
    </w:p>
    <w:p>
      <w:pPr>
        <w:pStyle w:val="ListBullet"/>
        <w:spacing w:after="40"/>
        <w:ind w:left="317" w:hanging="173"/>
      </w:pPr>
      <w:r>
        <w:t>A mess with only lunch and dinner must not display breakfast to its customers.</w:t>
      </w:r>
    </w:p>
    <w:p>
      <w:pPr>
        <w:pStyle w:val="Heading2"/>
      </w:pPr>
      <w:r>
        <w:t>Menu and extra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142433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r>
              <w:rPr>
                <w:b/>
                <w:color w:val="FFFFFF"/>
                <w:sz w:val="15"/>
              </w:rPr>
              <w:t>Rule type</w:t>
            </w:r>
          </w:p>
        </w:tc>
        <w:tc>
          <w:tcPr>
            <w:tcW w:type="dxa" w:w="3744"/>
            <w:shd w:fill="142433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r>
              <w:rPr>
                <w:b/>
                <w:color w:val="FFFFFF"/>
                <w:sz w:val="15"/>
              </w:rPr>
              <w:t>Example</w:t>
            </w:r>
          </w:p>
        </w:tc>
        <w:tc>
          <w:tcPr>
            <w:tcW w:type="dxa" w:w="4392"/>
            <w:shd w:fill="142433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r>
              <w:rPr>
                <w:b/>
                <w:color w:val="FFFFFF"/>
                <w:sz w:val="15"/>
              </w:rPr>
              <w:t>Customer display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Included base portion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Dal 1 serving, rice 1 serving, roti 4 pieces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Included in this plan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Plan-specific item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Paneer included only in Premium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Included with Premium only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Paid special dish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Paneer special +₹30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Optional extra +₹30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Extra quantity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Extra roti ₹5 each; rice ₹10 per serving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Quantity and unit price shown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Substitution / upgrade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Replace regular sabzi with a special dish for a set difference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Only available if provider enables it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Stock / sold out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Paneer stock reaches zero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Unavailable; no charge allowed</w:t>
            </w:r>
          </w:p>
        </w:tc>
      </w:tr>
    </w:tbl>
    <w:p>
      <w:pPr>
        <w:spacing w:after="20"/>
      </w:pPr>
    </w:p>
    <w:p>
      <w:r>
        <w:t>A base lunch/dinner redemption is one meal. Additional roti or a special dish is a separate line item and must not consume another meal credit. Save immutable item, quantity, plan-inclusion and price snapshots on completed records so future menu edits do not rewrite history.</w:t>
      </w:r>
    </w:p>
    <w:p>
      <w:r>
        <w:br w:type="page"/>
      </w:r>
    </w:p>
    <w:p>
      <w:pPr>
        <w:pStyle w:val="Heading1"/>
      </w:pPr>
      <w:r>
        <w:t>4. Daily QR and provider dashboard</w:t>
      </w:r>
    </w:p>
    <w:p>
      <w:pPr>
        <w:pStyle w:val="Heading2"/>
      </w:pPr>
      <w:r>
        <w:t>Daily QR workflow</w:t>
      </w:r>
    </w:p>
    <w:p>
      <w:pPr>
        <w:pStyle w:val="ListBullet"/>
        <w:spacing w:after="40"/>
        <w:ind w:left="317" w:hanging="173"/>
      </w:pPr>
      <w:r>
        <w:t>Backend issues one provider-specific QR session for the local service date. The same QR can stay visible at the counter through the day.</w:t>
      </w:r>
    </w:p>
    <w:p>
      <w:pPr>
        <w:pStyle w:val="ListBullet"/>
        <w:spacing w:after="40"/>
        <w:ind w:left="317" w:hanging="173"/>
      </w:pPr>
      <w:r>
        <w:t>QR payload must be signed/tokenized and bound to provider + service date; it cannot be a static business ID.</w:t>
      </w:r>
    </w:p>
    <w:p>
      <w:pPr>
        <w:pStyle w:val="ListBullet"/>
        <w:spacing w:after="40"/>
        <w:ind w:left="317" w:hanging="173"/>
      </w:pPr>
      <w:r>
        <w:t>Customer scans provider QR using the customer app. Provider app displays the QR; it does not scan a customer-generated QR in this product flow.</w:t>
      </w:r>
    </w:p>
    <w:p>
      <w:pPr>
        <w:pStyle w:val="ListBullet"/>
        <w:spacing w:after="40"/>
        <w:ind w:left="317" w:hanging="173"/>
      </w:pPr>
      <w:r>
        <w:t>Customer backend request validates QR, provider status, plan/daily entitlement, service date, current meal slot, limits, payment and duplicate-key rules.</w:t>
      </w:r>
    </w:p>
    <w:p>
      <w:pPr>
        <w:pStyle w:val="ListBullet"/>
        <w:spacing w:after="40"/>
        <w:ind w:left="317" w:hanging="173"/>
      </w:pPr>
      <w:r>
        <w:t>Menu preview shows plan-included items and paid extras. Sold-out extras cannot be charged.</w:t>
      </w:r>
    </w:p>
    <w:p>
      <w:pPr>
        <w:pStyle w:val="ListBullet"/>
        <w:spacing w:after="40"/>
        <w:ind w:left="317" w:hanging="173"/>
      </w:pPr>
      <w:r>
        <w:t>One atomic backend operation commits redemption and tracker credit deduction. UI success appears only after commit.</w:t>
      </w:r>
    </w:p>
    <w:p>
      <w:pPr>
        <w:pStyle w:val="ListBullet"/>
        <w:spacing w:after="40"/>
        <w:ind w:left="317" w:hanging="173"/>
      </w:pPr>
      <w:r>
        <w:t>Provider counter interface shows a privacy-minimal result: confirmed / already redeemed / invalid / expired / wrong slot / no entitlement / no credits.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1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42433"/>
                <w:sz w:val="20"/>
              </w:rPr>
              <w:t>Concurrency safeguard</w:t>
            </w:r>
          </w:p>
          <w:p>
            <w:pPr>
              <w:spacing w:after="0"/>
            </w:pPr>
            <w:r>
              <w:rPr>
                <w:color w:val="65737E"/>
                <w:sz w:val="18"/>
              </w:rPr>
              <w:t>Use a database unique key and transactional balance update for customer + provider + meal slot + service date. Concurrent scans cannot deduct twice. Same day QR may be used by many eligible customers, but each customer’s allowed slot is redeemed only once.</w:t>
            </w:r>
          </w:p>
        </w:tc>
      </w:tr>
    </w:tbl>
    <w:p>
      <w:pPr>
        <w:spacing w:after="20"/>
      </w:pPr>
    </w:p>
    <w:p>
      <w:pPr>
        <w:pStyle w:val="Heading2"/>
      </w:pPr>
      <w:r>
        <w:t>Provider overview 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142433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r>
              <w:rPr>
                <w:b/>
                <w:color w:val="FFFFFF"/>
                <w:sz w:val="15"/>
              </w:rPr>
              <w:t>Section</w:t>
            </w:r>
          </w:p>
        </w:tc>
        <w:tc>
          <w:tcPr>
            <w:tcW w:type="dxa" w:w="4752"/>
            <w:shd w:fill="142433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r>
              <w:rPr>
                <w:b/>
                <w:color w:val="FFFFFF"/>
                <w:sz w:val="15"/>
              </w:rPr>
              <w:t>What to show</w:t>
            </w:r>
          </w:p>
        </w:tc>
        <w:tc>
          <w:tcPr>
            <w:tcW w:type="dxa" w:w="3744"/>
            <w:shd w:fill="142433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r>
              <w:rPr>
                <w:b/>
                <w:color w:val="FFFFFF"/>
                <w:sz w:val="15"/>
              </w:rPr>
              <w:t>Avoid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Today at a glance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Configured slots, current slot status, verified redemptions when live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Invented meal counts or fake “busy” badges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QR card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Today’s server-issued QR status and service date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Client-generated production QR or token secret exposure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Menu status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Today’s published menu and sold-out items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AI-generated photos or unconfigured menu items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Plans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Active plans, renewals due and publication warnings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Hardcoded universal prices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Finance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Gross, platform/gateway fee, refund, payable and paid settlement separately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Gross sales presented as profit or settlement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Attention queue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Provider review, support and reconciliation exceptions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False green health status or fake ticket count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Admin and operations console</w:t>
      </w:r>
    </w:p>
    <w:p>
      <w:r>
        <w:t>The admin panel is a restricted web console for the MESS team. The UI prototype includes overview, provider applications, providers, customers, plans/menus, redemptions, payments/settlements, offers, support, team/roles, audit log and system health. Every action must be connected to a trusted server endpoint before real operations.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42433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4320"/>
            <w:shd w:fill="142433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r>
              <w:rPr>
                <w:b/>
                <w:color w:val="FFFFFF"/>
                <w:sz w:val="15"/>
              </w:rPr>
              <w:t>Key capabilities</w:t>
            </w:r>
          </w:p>
        </w:tc>
        <w:tc>
          <w:tcPr>
            <w:tcW w:type="dxa" w:w="4104"/>
            <w:shd w:fill="142433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r>
              <w:rPr>
                <w:b/>
                <w:color w:val="FFFFFF"/>
                <w:sz w:val="15"/>
              </w:rPr>
              <w:t>Required control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Provider applications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Inspect owner, address, applicable licence/documents, menu/plan preview, agreement; approve/request changes/reject/suspend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Role check, reason, confirmation and audit entry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Customers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Minimum account/status details for support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Data minimization; scoped PII access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Plans &amp; menus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Publication state, duration/price validation, portion rules, sold-out and policy errors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Server validates changes; preserve purchase snapshots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Redemptions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Search by provider/date/slot/customer; investigate duplicate and disputed scans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Read server-confirmed events; no silent ledger edits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Payments &amp; settlements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Gateway status, webhook reconciliation, fees, refund, provider payable and payout status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Finance role; idempotency; maker/checker on high-risk actions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Offers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Effective dates, eligible plans, minimum order, limits and stacking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Server-side checkout validation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Support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Tickets, assignments, priority and resolution note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Scope access to the ticket and necessary user data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Team &amp; roles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Invite/revoke staff, grant least privilege, MFA requirements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Server-side authorization and audit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Audit &amp; system health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Append-only events, masked logs, migration/service status and feature flags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No secrets in browser; developer role read-only</w:t>
            </w:r>
          </w:p>
        </w:tc>
      </w:tr>
    </w:tbl>
    <w:p>
      <w:pPr>
        <w:spacing w:after="20"/>
      </w:pPr>
    </w:p>
    <w:p>
      <w:pPr>
        <w:pStyle w:val="Heading2"/>
      </w:pPr>
      <w:r>
        <w:t>Team roles</w:t>
      </w:r>
    </w:p>
    <w:p>
      <w:pPr>
        <w:pStyle w:val="ListBullet"/>
        <w:spacing w:after="40"/>
        <w:ind w:left="317" w:hanging="173"/>
      </w:pPr>
      <w:r>
        <w:t>Super Admin: role administration and high-risk platform configuration with MFA.</w:t>
      </w:r>
    </w:p>
    <w:p>
      <w:pPr>
        <w:pStyle w:val="ListBullet"/>
        <w:spacing w:after="40"/>
        <w:ind w:left="317" w:hanging="173"/>
      </w:pPr>
      <w:r>
        <w:t>Operations: provider verification, menu/publication issue and redemption/support investigation.</w:t>
      </w:r>
    </w:p>
    <w:p>
      <w:pPr>
        <w:pStyle w:val="ListBullet"/>
        <w:spacing w:after="40"/>
        <w:ind w:left="317" w:hanging="173"/>
      </w:pPr>
      <w:r>
        <w:t>Finance: reconciliation, refund and settlement workflow; use maker/checker where appropriate.</w:t>
      </w:r>
    </w:p>
    <w:p>
      <w:pPr>
        <w:pStyle w:val="ListBullet"/>
        <w:spacing w:after="40"/>
        <w:ind w:left="317" w:hanging="173"/>
      </w:pPr>
      <w:r>
        <w:t>Support: ticket management and the minimum necessary customer/provider data.</w:t>
      </w:r>
    </w:p>
    <w:p>
      <w:pPr>
        <w:pStyle w:val="ListBullet"/>
        <w:spacing w:after="40"/>
        <w:ind w:left="317" w:hanging="173"/>
      </w:pPr>
      <w:r>
        <w:t>Developer read-only: masked service logs, migrations and health status; no routine access to customer PII or payment credentials.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1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42433"/>
                <w:sz w:val="20"/>
              </w:rPr>
              <w:t>Authorization rule</w:t>
            </w:r>
          </w:p>
          <w:p>
            <w:pPr>
              <w:spacing w:after="0"/>
            </w:pPr>
            <w:r>
              <w:rPr>
                <w:color w:val="65737E"/>
                <w:sz w:val="18"/>
              </w:rPr>
              <w:t>Hidden buttons are not security. Every admin/provider operation must check identity, role, business ownership and allowed transition on the server.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Technical architecture and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142433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r>
              <w:rPr>
                <w:b/>
                <w:color w:val="FFFFFF"/>
                <w:sz w:val="15"/>
              </w:rPr>
              <w:t>Layer</w:t>
            </w:r>
          </w:p>
        </w:tc>
        <w:tc>
          <w:tcPr>
            <w:tcW w:type="dxa" w:w="4464"/>
            <w:shd w:fill="142433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r>
              <w:rPr>
                <w:b/>
                <w:color w:val="FFFFFF"/>
                <w:sz w:val="15"/>
              </w:rPr>
              <w:t>Recommended implementation</w:t>
            </w:r>
          </w:p>
        </w:tc>
        <w:tc>
          <w:tcPr>
            <w:tcW w:type="dxa" w:w="4104"/>
            <w:shd w:fill="142433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r>
              <w:rPr>
                <w:b/>
                <w:color w:val="FFFFFF"/>
                <w:sz w:val="15"/>
              </w:rPr>
              <w:t>Boundary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Provider mobile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Flutter, feature-based modules, shared theme and typed repository interfaces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UI does not decide plan eligibility, prices, approval or QR validity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Admin web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Next.js + TypeScript, responsive layout, accessible controls and protected server routes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Client role display is not authorization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Auth/data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Supabase Auth + PostgreSQL + private Storage, or reuse the existing backend after audit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RLS on every exposed table; test grants and policies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Domain services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Trusted functions/server endpoints for plan publish, QR issuance, redemption, payment and settlement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Atomic transactions, idempotency and server-authoritative state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Payments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Gateway adapter and sandbox first; signed webhooks and reconciliation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No credentials in Flutter/browser bundles</w:t>
            </w:r>
          </w:p>
        </w:tc>
      </w:tr>
    </w:tbl>
    <w:p>
      <w:pPr>
        <w:spacing w:after="20"/>
      </w:pPr>
    </w:p>
    <w:p>
      <w:pPr>
        <w:pStyle w:val="Heading2"/>
      </w:pPr>
      <w:r>
        <w:t>Core database groups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142433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Group</w:t>
            </w:r>
          </w:p>
        </w:tc>
        <w:tc>
          <w:tcPr>
            <w:tcW w:type="dxa" w:w="7992"/>
            <w:shd w:fill="142433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Main tables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6"/>
              </w:rPr>
              <w:t>Identity / business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6"/>
              </w:rPr>
              <w:t>profiles, businesses, business_members, provider_documents, business_hours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6"/>
              </w:rPr>
              <w:t>Service / menus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6"/>
              </w:rPr>
              <w:t>meal_slots, menu_items, daily_menus, daily_menu_items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6"/>
              </w:rPr>
              <w:t>Pricing / subscriptions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6"/>
              </w:rPr>
              <w:t>plan_templates, plan_meal_slots, plan_included_items, subscriptions, daily_meal_orders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6"/>
              </w:rPr>
              <w:t>QR / attendance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6"/>
              </w:rPr>
              <w:t>daily_qr_sessions, meal_redemptions, redemption_addons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6"/>
              </w:rPr>
              <w:t>Finance / offers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6"/>
              </w:rPr>
              <w:t>payments, promotion_codes, promotion_redemptions, financial_ledger, provider_settlements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6"/>
              </w:rPr>
              <w:t>Customer / operations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6"/>
              </w:rPr>
              <w:t>business_feedback, support_tickets, platform_admin_roles, admin_audit_logs, platform_feature_flags</w:t>
            </w:r>
          </w:p>
        </w:tc>
      </w:tr>
    </w:tbl>
    <w:p>
      <w:pPr>
        <w:spacing w:after="20"/>
      </w:pPr>
    </w:p>
    <w:p>
      <w:pPr>
        <w:pStyle w:val="Heading2"/>
      </w:pPr>
      <w:r>
        <w:t>Key integrity requirements</w:t>
      </w:r>
    </w:p>
    <w:p>
      <w:pPr>
        <w:pStyle w:val="ListBullet"/>
        <w:spacing w:after="40"/>
        <w:ind w:left="317" w:hanging="173"/>
      </w:pPr>
      <w:r>
        <w:t>Money uses numeric/integer minor units, not floating point. Use immutable snapshots for price, commission terms, portions and discounts.</w:t>
      </w:r>
    </w:p>
    <w:p>
      <w:pPr>
        <w:pStyle w:val="ListBullet"/>
        <w:spacing w:after="40"/>
        <w:ind w:left="317" w:hanging="173"/>
      </w:pPr>
      <w:r>
        <w:t>Date-bound QR session is unique per provider/service date. Store token digest/metadata; return signed payload only through authorized backend flow.</w:t>
      </w:r>
    </w:p>
    <w:p>
      <w:pPr>
        <w:pStyle w:val="ListBullet"/>
        <w:spacing w:after="40"/>
        <w:ind w:left="317" w:hanging="173"/>
      </w:pPr>
      <w:r>
        <w:t>Unique/idempotency constraints protect gateway events and redemption events.</w:t>
      </w:r>
    </w:p>
    <w:p>
      <w:pPr>
        <w:pStyle w:val="ListBullet"/>
        <w:spacing w:after="40"/>
        <w:ind w:left="317" w:hanging="173"/>
      </w:pPr>
      <w:r>
        <w:t>A plan starts only after verified payment. Tracker credits, payment status, provider commission and payout are server-calculated.</w:t>
      </w:r>
    </w:p>
    <w:p>
      <w:pPr>
        <w:pStyle w:val="ListBullet"/>
        <w:spacing w:after="40"/>
        <w:ind w:left="317" w:hanging="173"/>
      </w:pPr>
      <w:r>
        <w:t>Apply explicit grants/revokes along with RLS. A policy does not automatically remove table-level grants.</w:t>
      </w:r>
    </w:p>
    <w:p>
      <w:pPr>
        <w:pStyle w:val="ListBullet"/>
        <w:spacing w:after="40"/>
        <w:ind w:left="317" w:hanging="173"/>
      </w:pPr>
      <w:r>
        <w:t>Private provider documents use a private storage bucket and short-lived signed access. Avoid storing raw secrets or unnecessary PII in logs.</w:t>
      </w:r>
    </w:p>
    <w:p>
      <w:r>
        <w:br w:type="page"/>
      </w:r>
    </w:p>
    <w:p>
      <w:pPr>
        <w:pStyle w:val="Heading1"/>
      </w:pPr>
      <w:r>
        <w:t>7. Implementation order and release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368"/>
            <w:shd w:fill="142433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r>
              <w:rPr>
                <w:b/>
                <w:color w:val="FFFFFF"/>
                <w:sz w:val="15"/>
              </w:rPr>
              <w:t>Phase</w:t>
            </w:r>
          </w:p>
        </w:tc>
        <w:tc>
          <w:tcPr>
            <w:tcW w:type="dxa" w:w="4536"/>
            <w:shd w:fill="142433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r>
              <w:rPr>
                <w:b/>
                <w:color w:val="FFFFFF"/>
                <w:sz w:val="15"/>
              </w:rPr>
              <w:t>Build</w:t>
            </w:r>
          </w:p>
        </w:tc>
        <w:tc>
          <w:tcPr>
            <w:tcW w:type="dxa" w:w="4248"/>
            <w:shd w:fill="142433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r>
              <w:rPr>
                <w:b/>
                <w:color w:val="FFFFFF"/>
                <w:sz w:val="15"/>
              </w:rPr>
              <w:t>Exit criterion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0. Audit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Inspect existing repo, customer app, web assets, Supabase schema, env and working flows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Integration checklist; no destructive changes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1. Domain model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Provider, slots, menu portions, plans, entitlements, extras, offers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Server rules and typed models reviewed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2. Auth/onboarding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Provider login/register, business/location draft, document upload and review status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Owner and business access tests pass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3. Menu/plans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Slots, weekly/daily menus, plan models/durations/price and included/extra items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Customer preview matches server validation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4. Admin console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Secure auth/roles, provider review, support, audit and health views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Role isolation and audit tests pass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5. QR/redemption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Provider daily QR, customer scan, slot resolution and atomic transaction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Duplicate/concurrency tests pass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6. Payments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Daily meal and add-on/subscription checkout, signed webhooks, refunds and ledger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Sandbox reconciliation + idempotency pass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7. Reports/support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Attendance, earnings, settlement, feedback and support workflows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Live queries, access restrictions and empty/error states verified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8. Release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Accessibility, responsive checks, docs, backup/rollback and pilot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4EC"/>
          </w:tcPr>
          <w:p>
            <w:pPr>
              <w:spacing w:after="0" w:line="245" w:lineRule="auto"/>
            </w:pPr>
            <w:r>
              <w:rPr>
                <w:color w:val="142433"/>
                <w:sz w:val="15"/>
              </w:rPr>
              <w:t>All critical tests run; open blockers disclosed</w:t>
            </w:r>
          </w:p>
        </w:tc>
      </w:tr>
    </w:tbl>
    <w:p>
      <w:pPr>
        <w:spacing w:after="20"/>
      </w:pPr>
    </w:p>
    <w:p>
      <w:pPr>
        <w:pStyle w:val="Heading2"/>
      </w:pPr>
      <w:r>
        <w:t>Must-pass acceptance checks</w:t>
      </w:r>
    </w:p>
    <w:p>
      <w:pPr>
        <w:pStyle w:val="ListBullet"/>
        <w:spacing w:after="40"/>
        <w:ind w:left="317" w:hanging="173"/>
      </w:pPr>
      <w:r>
        <w:t>Provider cannot self-approve or publish a production plan/menu by changing a client field.</w:t>
      </w:r>
    </w:p>
    <w:p>
      <w:pPr>
        <w:pStyle w:val="ListBullet"/>
        <w:spacing w:after="40"/>
        <w:ind w:left="317" w:hanging="173"/>
      </w:pPr>
      <w:r>
        <w:t>Fixed-period plan records valid meal attendance but does not decrease meal credits.</w:t>
      </w:r>
    </w:p>
    <w:p>
      <w:pPr>
        <w:pStyle w:val="ListBullet"/>
        <w:spacing w:after="40"/>
        <w:ind w:left="317" w:hanging="173"/>
      </w:pPr>
      <w:r>
        <w:t>Tracker plan deducts exactly one credit after successful redemption; skipped days deduct zero.</w:t>
      </w:r>
    </w:p>
    <w:p>
      <w:pPr>
        <w:pStyle w:val="ListBullet"/>
        <w:spacing w:after="40"/>
        <w:ind w:left="317" w:hanging="173"/>
      </w:pPr>
      <w:r>
        <w:t>Daily meal cannot redeem without verified payment and its customer/provider/date/slot entitlement.</w:t>
      </w:r>
    </w:p>
    <w:p>
      <w:pPr>
        <w:pStyle w:val="ListBullet"/>
        <w:spacing w:after="40"/>
        <w:ind w:left="317" w:hanging="173"/>
      </w:pPr>
      <w:r>
        <w:t>Same provider QR works for eligible customers that day; a customer cannot redeem the same allowed slot twice.</w:t>
      </w:r>
    </w:p>
    <w:p>
      <w:pPr>
        <w:pStyle w:val="ListBullet"/>
        <w:spacing w:after="40"/>
        <w:ind w:left="317" w:hanging="173"/>
      </w:pPr>
      <w:r>
        <w:t>Wrong provider/date/signature, expired QR, out-of-slot, no credits, sold-out extra and failed payment have clear errors and no unintended state change.</w:t>
      </w:r>
    </w:p>
    <w:p>
      <w:pPr>
        <w:pStyle w:val="ListBullet"/>
        <w:spacing w:after="40"/>
        <w:ind w:left="317" w:hanging="173"/>
      </w:pPr>
      <w:r>
        <w:t>Admin finance/role actions are server-authorized, reasoned and audited. Developer views are read-only and masked.</w:t>
      </w:r>
    </w:p>
    <w:p>
      <w:pPr>
        <w:pStyle w:val="ListBullet"/>
        <w:spacing w:after="40"/>
        <w:ind w:left="317" w:hanging="173"/>
      </w:pPr>
      <w:r>
        <w:t>No dead actions, broken links, page-level horizontal overflow, fake metrics/reviews/photos or exposed secrets.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0E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42433"/>
                <w:sz w:val="20"/>
              </w:rPr>
              <w:t>Prototype status</w:t>
            </w:r>
          </w:p>
          <w:p>
            <w:pPr>
              <w:spacing w:after="0"/>
            </w:pPr>
            <w:r>
              <w:rPr>
                <w:color w:val="65737E"/>
                <w:sz w:val="18"/>
              </w:rPr>
              <w:t>The ZIP contains source prototypes, not a deployed platform. Flutter SDK was not available in the authoring environment; run flutter analyze/test/build locally. Install web dependencies and run Next.js typecheck/lint/build. Treat the SQL as a reviewable baseline and validate it in a staging database before any live migration.</w:t>
            </w:r>
          </w:p>
        </w:tc>
      </w:tr>
    </w:tbl>
    <w:p>
      <w:pPr>
        <w:spacing w:after="20"/>
      </w:pPr>
    </w:p>
    <w:p>
      <w:r>
        <w:t>Next handoff: extract MESS_Provider_Admin_Package.zip, open the existing MESS repository in Antigravity, paste prompts/ANTIGRAVITY_MASTER_PROMPT.md, and require iterative implementation with actual test results. Use LOOP_CONTINUE_PROMPT.md after each phase and RELEASE_AUDIT_PROMPT.md before launch.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5737E"/>
        <w:sz w:val="16"/>
      </w:rPr>
      <w:t xml:space="preserve">CONFIDENTIAL WORKING BLUEPRINT     •  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ptos" w:hAnsi="Aptos"/>
        <w:b/>
        <w:color w:val="65737E"/>
        <w:sz w:val="16"/>
      </w:rPr>
      <w:t>MESS  /  PROVIDER + OPERATIONS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Aptos"/>
      <w:color w:val="1424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43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424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F59A1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42433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