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Exercise</w:t>
      </w:r>
      <w:r>
        <w:t xml:space="preserve"> </w:t>
      </w:r>
      <w:r>
        <w:t xml:space="preserve">in</w:t>
      </w:r>
      <w:r>
        <w:t xml:space="preserve"> </w:t>
      </w:r>
      <w:r>
        <w:t xml:space="preserve">Modeling</w:t>
      </w:r>
      <w:r>
        <w:t xml:space="preserve"> </w:t>
      </w:r>
      <w:r>
        <w:t xml:space="preserve">Text</w:t>
      </w:r>
      <w:r>
        <w:t xml:space="preserve"> </w:t>
      </w:r>
      <w:r>
        <w:t xml:space="preserve">with</w:t>
      </w:r>
      <w:r>
        <w:t xml:space="preserve"> </w:t>
      </w:r>
      <w:r>
        <w:rPr>
          <w:i/>
        </w:rPr>
        <w:t xml:space="preserve">Markdown</w:t>
      </w:r>
      <w:r>
        <w:t xml:space="preserve"> </w:t>
      </w:r>
      <w:r>
        <w:t xml:space="preserve">and</w:t>
      </w:r>
      <w:r>
        <w:t xml:space="preserve"> </w:t>
      </w:r>
      <w:r>
        <w:rPr>
          <w:i/>
        </w:rPr>
        <w:t xml:space="preserve">Pandoc</w:t>
      </w:r>
      <w:r>
        <w:t xml:space="preserve"> </w:t>
      </w:r>
      <w:r>
        <w:t xml:space="preserve">by</w:t>
      </w:r>
      <w:r>
        <w:t xml:space="preserve"> </w:t>
      </w:r>
      <w:r>
        <w:t xml:space="preserve">Regina</w:t>
      </w:r>
      <w:r>
        <w:t xml:space="preserve"> </w:t>
      </w:r>
      <w:r>
        <w:t xml:space="preserve">Jonach</w:t>
      </w:r>
    </w:p>
    <w:p>
      <w:pPr>
        <w:pStyle w:val="Subtitle"/>
      </w:pPr>
      <w:r>
        <w:t xml:space="preserve">from</w:t>
      </w:r>
      <w:r>
        <w:t xml:space="preserve"> </w:t>
      </w:r>
      <w:r>
        <w:t xml:space="preserve">-</w:t>
      </w:r>
      <w:r>
        <w:t xml:space="preserve"> </w:t>
      </w:r>
      <w:r>
        <w:t xml:space="preserve">“</w:t>
      </w:r>
      <w:r>
        <w:t xml:space="preserve">A</w:t>
      </w:r>
      <w:r>
        <w:t xml:space="preserve"> </w:t>
      </w:r>
      <w:r>
        <w:t xml:space="preserve">Study</w:t>
      </w:r>
      <w:r>
        <w:t xml:space="preserve"> </w:t>
      </w:r>
      <w:r>
        <w:t xml:space="preserve">in</w:t>
      </w:r>
      <w:r>
        <w:t xml:space="preserve"> </w:t>
      </w:r>
      <w:r>
        <w:t xml:space="preserve">Words</w:t>
      </w:r>
      <w:r>
        <w:t xml:space="preserve"> </w:t>
      </w:r>
      <w:r>
        <w:t xml:space="preserve">and</w:t>
      </w:r>
      <w:r>
        <w:t xml:space="preserve"> </w:t>
      </w:r>
      <w:r>
        <w:t xml:space="preserve">Meanings</w:t>
      </w:r>
      <w:r>
        <w:t xml:space="preserve">”</w:t>
      </w:r>
      <w:r>
        <w:t xml:space="preserve"> </w:t>
      </w:r>
      <w:r>
        <w:t xml:space="preserve">by</w:t>
      </w:r>
      <w:r>
        <w:t xml:space="preserve"> </w:t>
      </w:r>
      <w:r>
        <w:t xml:space="preserve">Williad</w:t>
      </w:r>
      <w:r>
        <w:t xml:space="preserve"> </w:t>
      </w:r>
      <w:r>
        <w:t xml:space="preserve">McCarty</w:t>
      </w:r>
    </w:p>
    <w:p>
      <w:pPr>
        <w:pStyle w:val="Author"/>
      </w:pPr>
      <w:r>
        <w:t xml:space="preserve">Textmodeling</w:t>
      </w:r>
      <w:r>
        <w:t xml:space="preserve"> </w:t>
      </w:r>
      <w:r>
        <w:t xml:space="preserve">executed</w:t>
      </w:r>
      <w:r>
        <w:t xml:space="preserve"> </w:t>
      </w:r>
      <w:r>
        <w:t xml:space="preserve">by</w:t>
      </w:r>
      <w:r>
        <w:t xml:space="preserve"> </w:t>
      </w:r>
      <w:r>
        <w:t xml:space="preserve">Regina</w:t>
      </w:r>
      <w:r>
        <w:t xml:space="preserve"> </w:t>
      </w:r>
      <w:r>
        <w:t xml:space="preserve">Jonach</w:t>
      </w:r>
    </w:p>
    <w:p>
      <w:pPr>
        <w:pStyle w:val="Date"/>
      </w:pPr>
    </w:p>
    <w:p>
      <w:pPr>
        <w:pStyle w:val="Heading1"/>
      </w:pPr>
      <w:bookmarkStart w:id="20" w:name="modeling-a-study-in-words-and-meanings"/>
      <w:r>
        <w:t xml:space="preserve">19. Modeling: A Study in Words and Meanings</w:t>
      </w:r>
      <w:bookmarkEnd w:id="20"/>
    </w:p>
    <w:p>
      <w:pPr>
        <w:pStyle w:val="Heading3"/>
      </w:pPr>
      <w:bookmarkStart w:id="21" w:name="willard-mccarty"/>
      <w:r>
        <w:t xml:space="preserve">Willard McCarty</w:t>
      </w:r>
      <w:bookmarkEnd w:id="21"/>
    </w:p>
    <w:p>
      <w:pPr>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Pr>
      <w:r>
        <w:t xml:space="preserve">He knew men who hated the</w:t>
      </w:r>
      <w:r>
        <w:t xml:space="preserve"> </w:t>
      </w:r>
      <w:r>
        <w:rPr>
          <w:i/>
        </w:rPr>
        <w:t xml:space="preserve">variables</w:t>
      </w:r>
      <w:r>
        <w:t xml:space="preserve">. They had their plans and by golly they were going to stick to them. If the site did not match the drawings it was like a personal insult.</w:t>
      </w:r>
    </w:p>
    <w:p>
      <w:pPr>
        <w:pStyle w:val="Block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Pr>
      <w:r>
        <w:t xml:space="preserve">Kate Grenville,</w:t>
      </w:r>
      <w:r>
        <w:t xml:space="preserve"> </w:t>
      </w:r>
      <w:r>
        <w:rPr>
          <w:i/>
        </w:rPr>
        <w:t xml:space="preserve">The Idea of Perfection</w:t>
      </w:r>
      <w:r>
        <w:t xml:space="preserve"> </w:t>
      </w:r>
      <w:r>
        <w:t xml:space="preserve">(Sydney: Picador, 1999): 62–3</w:t>
      </w:r>
    </w:p>
    <w:p>
      <w:pPr>
        <w:pStyle w:val="Heading2"/>
      </w:pPr>
      <w:bookmarkStart w:id="22" w:name="introduction"/>
      <w:r>
        <w:t xml:space="preserve">Introduction</w:t>
      </w:r>
      <w:bookmarkEnd w:id="22"/>
    </w:p>
    <w:p>
      <w:pPr>
        <w:pStyle w:val="FirstParagraph"/>
      </w:pPr>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w:t>
      </w:r>
      <w:r>
        <w:t xml:space="preserve"> </w:t>
      </w:r>
      <w:r>
        <w:rPr>
          <w:i/>
        </w:rPr>
        <w:t xml:space="preserve">of</w:t>
      </w:r>
      <w:r>
        <w:t xml:space="preserve"> </w:t>
      </w:r>
      <w:r>
        <w:t xml:space="preserve">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w:t>
      </w:r>
      <w:r>
        <w:t xml:space="preserve"> </w:t>
      </w:r>
      <w:r>
        <w:rPr>
          <w:i/>
        </w:rPr>
        <w:t xml:space="preserve">the correct word</w:t>
      </w:r>
      <w:r>
        <w:t xml:space="preserve"> </w:t>
      </w:r>
      <w:r>
        <w:t xml:space="preserve">for the activity we share lest our practice go awry for want of understanding (</w:t>
      </w:r>
      <w:r>
        <w:rPr>
          <w:i/>
        </w:rPr>
        <w:t xml:space="preserve">Analects</w:t>
      </w:r>
      <w:r>
        <w:t xml:space="preserve"> </w:t>
      </w:r>
      <w:r>
        <w:t xml:space="preserve">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2"/>
      </w:pPr>
      <w:bookmarkStart w:id="23" w:name="background"/>
      <w:r>
        <w:t xml:space="preserve">Background</w:t>
      </w:r>
      <w:bookmarkEnd w:id="23"/>
    </w:p>
    <w:p>
      <w:pPr>
        <w:pStyle w:val="FirstParagraph"/>
      </w:pPr>
      <w:r>
        <w:t xml:space="preserve">Let me begin with provisional definitions</w:t>
      </w:r>
      <w:r>
        <w:rPr>
          <w:rStyle w:val="FootnoteReference"/>
        </w:rPr>
        <w:footnoteReference w:id="24"/>
      </w:r>
      <w:r>
        <w:t xml:space="preserve">. By</w:t>
      </w:r>
      <w:r>
        <w:t xml:space="preserve"> </w:t>
      </w:r>
      <w:r>
        <w:t xml:space="preserve">“</w:t>
      </w:r>
      <w:r>
        <w:t xml:space="preserve">modeling</w:t>
      </w:r>
      <w:r>
        <w:t xml:space="preserve">”</w:t>
      </w:r>
      <w:r>
        <w:t xml:space="preserve"> </w:t>
      </w:r>
      <w:r>
        <w:t xml:space="preserve">I mean the</w:t>
      </w:r>
      <w:r>
        <w:t xml:space="preserve"> </w:t>
      </w:r>
      <w:r>
        <w:rPr>
          <w:i/>
        </w:rPr>
        <w:t xml:space="preserve">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 or 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t xml:space="preserve"> </w:t>
      </w:r>
      <w:r>
        <w:t xml:space="preserve">(Geertz 1973, 93)</w:t>
      </w:r>
      <w:r>
        <w:t xml:space="preserve">2.</w:t>
      </w:r>
      <w:r>
        <w:rPr>
          <w:rStyle w:val="FootnoteReference"/>
        </w:rPr>
        <w:footnoteReference w:id="25"/>
      </w:r>
      <w:r>
        <w:t xml:space="preserve"> </w:t>
      </w:r>
      <w:r>
        <w:t xml:space="preserve">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t xml:space="preserve"> </w:t>
      </w:r>
      <w:r>
        <w:t xml:space="preserve">(Cartwright 1983, 158)</w:t>
      </w:r>
      <w:r>
        <w:t xml:space="preserve">. By nature modeling defines a ternary relationship in which it mediates epistemologically, between modeler and modeled, researcher and data or theory and the world</w:t>
      </w:r>
      <w:r>
        <w:t xml:space="preserve"> </w:t>
      </w:r>
      <w:r>
        <w:t xml:space="preserve">(Morgan and Morrison 1999)</w:t>
      </w:r>
      <w:r>
        <w:t xml:space="preserve">. Since modeling is fundamentally relational, the same object may in different contexts play either role: thus, e.g., the grammar may function prescriptively, as a model</w:t>
      </w:r>
      <w:r>
        <w:t xml:space="preserve"> </w:t>
      </w:r>
      <w:r>
        <w:rPr>
          <w:i/>
        </w:rPr>
        <w:t xml:space="preserve">for</w:t>
      </w:r>
      <w:r>
        <w:t xml:space="preserve"> </w:t>
      </w:r>
      <w:r>
        <w:t xml:space="preserve">correct usage, the architectural plan descriptively, as a model</w:t>
      </w:r>
      <w:r>
        <w:t xml:space="preserve"> </w:t>
      </w:r>
      <w:r>
        <w:rPr>
          <w:i/>
        </w:rPr>
        <w:t xml:space="preserve">of</w:t>
      </w:r>
      <w:r>
        <w:t xml:space="preserve"> </w:t>
      </w:r>
      <w:r>
        <w:t xml:space="preserve">an existing style. The distinction also reaches its vanishing point in the convergent purposes of modeling: the model of 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w:t>
      </w:r>
      <w:r>
        <w:t xml:space="preserve"> </w:t>
      </w:r>
      <w:r>
        <w:t xml:space="preserve">(Leff 1972)</w:t>
      </w:r>
      <w:r>
        <w:t xml:space="preserve">. Leff cites, e.g., the historic-graphical notion of</w:t>
      </w:r>
      <w:r>
        <w:t xml:space="preserve"> </w:t>
      </w:r>
      <w:r>
        <w:t xml:space="preserve">“</w:t>
      </w:r>
      <w:r>
        <w:t xml:space="preserve">epoch</w:t>
      </w:r>
      <w:r>
        <w:t xml:space="preserve">”</w:t>
      </w:r>
      <w:r>
        <w:t xml:space="preserve">, but any well-articulated idea would qualify as a model</w:t>
      </w:r>
      <w:r>
        <w:t xml:space="preserve"> </w:t>
      </w:r>
      <w:r>
        <w:rPr>
          <w:i/>
        </w:rPr>
        <w:t xml:space="preserve">of</w:t>
      </w:r>
      <w:r>
        <w:t xml:space="preserve"> </w:t>
      </w:r>
      <w:r>
        <w:t xml:space="preserve">its 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w:t>
      </w:r>
      <w:r>
        <w:t xml:space="preserve"> </w:t>
      </w:r>
      <w:r>
        <w:t xml:space="preserve">(Mironesco 2002)</w:t>
      </w:r>
      <w:r>
        <w:t xml:space="preserve">.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1995)</w:t>
      </w:r>
      <w:r>
        <w:t xml:space="preserve">.</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w:t>
      </w:r>
      <w:r>
        <w:t xml:space="preserve"> </w:t>
      </w:r>
      <w:r>
        <w:t xml:space="preserve">(McCarty 2002)</w:t>
      </w:r>
      <w:r>
        <w:t xml:space="preserve">,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w:t>
      </w:r>
      <w:r>
        <w:t xml:space="preserve"> </w:t>
      </w:r>
      <w:r>
        <w:rPr>
          <w:i/>
        </w:rPr>
        <w:t xml:space="preserve">of 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(OED: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 ab wo,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w:t>
      </w:r>
      <w:r>
        <w:t xml:space="preserve"> </w:t>
      </w:r>
      <w:r>
        <w:rPr>
          <w:i/>
        </w:rPr>
        <w:t xml:space="preserve">per se</w:t>
      </w:r>
      <w:r>
        <w:t xml:space="preserve"> </w:t>
      </w:r>
      <w:r>
        <w:t xml:space="preserve">are not the point. What distinguishes computers from other kinds of machines, Smith notes, is that</w:t>
      </w:r>
      <w:r>
        <w:t xml:space="preserve"> </w:t>
      </w:r>
      <w:r>
        <w:t xml:space="preserve">“</w:t>
      </w:r>
      <w:r>
        <w:t xml:space="preserve">they run by</w:t>
      </w:r>
      <w:r>
        <w:t xml:space="preserve"> </w:t>
      </w:r>
      <w:r>
        <w:rPr>
          <w:i/>
        </w:rPr>
        <w:t xml:space="preserve">manipulating</w:t>
      </w:r>
      <w:r>
        <w:t xml:space="preserve"> </w:t>
      </w:r>
      <w:r>
        <w:t xml:space="preserve">representations, and representations are always formulated in terms of models</w:t>
      </w:r>
      <w:r>
        <w:t xml:space="preserve">”</w:t>
      </w:r>
      <w:r>
        <w:t xml:space="preserve"> </w:t>
      </w:r>
      <w:r>
        <w:t xml:space="preserve">(Smith 1995, 460)</w:t>
      </w:r>
      <w:r>
        <w:t xml:space="preserve">cf. </w:t>
      </w:r>
      <w:r>
        <w:t xml:space="preserve">(Fetzer 1999, 23)</w:t>
      </w:r>
      <w:r>
        <w:t xml:space="preserve">.</w:t>
      </w:r>
    </w:p>
    <w:p>
      <w:pPr>
        <w:pStyle w:val="BodyText"/>
      </w:pPr>
      <w:r>
        <w:t xml:space="preserve">In other words, computational models, however finely perfected, are better understood as</w:t>
      </w:r>
      <w:r>
        <w:t xml:space="preserve"> </w:t>
      </w:r>
      <w:r>
        <w:rPr>
          <w:i/>
        </w:rPr>
        <w:t xml:space="preserve">temporary states in a process of coming to know</w:t>
      </w:r>
      <w:r>
        <w:t xml:space="preserve"> </w:t>
      </w:r>
      <w:r>
        <w:t xml:space="preserve">rather than fixed structures of knowledge. It is of course possible to argue ideologically, as some still do, that we are converging on and will achieve such structures,</w:t>
      </w:r>
      <w:r>
        <w:rPr>
          <w:rStyle w:val="FootnoteReference"/>
        </w:rPr>
        <w:footnoteReference w:id="26"/>
      </w:r>
      <w:r>
        <w:t xml:space="preserve"> </w:t>
      </w:r>
      <w:r>
        <w:t xml:space="preserve">but in any case these structures would not then be</w:t>
      </w:r>
      <w:r>
        <w:t xml:space="preserve"> </w:t>
      </w:r>
      <w:r>
        <w:rPr>
          <w:i/>
        </w:rPr>
        <w:t xml:space="preserve">models</w:t>
      </w:r>
      <w:r>
        <w:t xml:space="preserve"> </w:t>
      </w:r>
      <w:r>
        <w:t xml:space="preserve">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 of something readily turns into modeling</w:t>
      </w:r>
      <w:r>
        <w:t xml:space="preserve"> </w:t>
      </w:r>
      <w:r>
        <w:rPr>
          <w:i/>
        </w:rPr>
        <w:t xml:space="preserve">for</w:t>
      </w:r>
      <w:r>
        <w:t xml:space="preserve"> </w:t>
      </w:r>
      <w:r>
        <w:t xml:space="preserve">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 of</w:t>
      </w:r>
      <w:r>
        <w:t xml:space="preserve"> </w:t>
      </w:r>
      <w:r>
        <w:rPr>
          <w:i/>
        </w:rPr>
        <w:t xml:space="preserve">any</w:t>
      </w:r>
      <w:r>
        <w:t xml:space="preserve"> </w:t>
      </w:r>
      <w:r>
        <w:t xml:space="preserve">sense of closure. Modeling</w:t>
      </w:r>
      <w:r>
        <w:t xml:space="preserve"> </w:t>
      </w:r>
      <w:r>
        <w:rPr>
          <w:i/>
        </w:rPr>
        <w:t xml:space="preserve">for</w:t>
      </w:r>
      <w:r>
        <w:t xml:space="preserve">, Utopian by definition, is denied it in any case.</w:t>
      </w:r>
    </w:p>
    <w:p>
      <w:pPr>
        <w:pStyle w:val="Heading2"/>
      </w:pPr>
      <w:bookmarkStart w:id="27" w:name="learned-complaints"/>
      <w:r>
        <w:t xml:space="preserve">Learned Complaints</w:t>
      </w:r>
      <w:bookmarkEnd w:id="27"/>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w:t>
      </w:r>
      <w:r>
        <w:t xml:space="preserve"> </w:t>
      </w:r>
      <w:r>
        <w:t xml:space="preserve">(Ziman 2000, 126–38, 147–50; Toulmin 1953, 94–109)</w:t>
      </w:r>
      <w:r>
        <w:t xml:space="preserve">. 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w:t>
      </w:r>
      <w:r>
        <w:t xml:space="preserve"> </w:t>
      </w:r>
      <w:r>
        <w:rPr>
          <w:i/>
        </w:rPr>
        <w:t xml:space="preserve">connote</w:t>
      </w:r>
      <w:r>
        <w:t xml:space="preserve"> </w:t>
      </w:r>
      <w:r>
        <w:t xml:space="preserve">that the others do not, and vice versa? What do all have in common? What are their individual tendencies of mind, and which of these best suits computing as we are learning to conceive it?</w:t>
      </w:r>
    </w:p>
    <w:p>
      <w:pPr>
        <w:pStyle w:val="Heading2"/>
      </w:pPr>
      <w:bookmarkStart w:id="28" w:name="philological-analysis-of-related-terms"/>
      <w:r>
        <w:t xml:space="preserve">Philological Analysis of Related Terms</w:t>
      </w:r>
      <w:bookmarkEnd w:id="28"/>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 of 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w:t>
      </w:r>
      <w:r>
        <w:t xml:space="preserve"> </w:t>
      </w:r>
      <w:r>
        <w:rPr>
          <w:i/>
        </w:rPr>
        <w:t xml:space="preserve">present-participial</w:t>
      </w:r>
      <w:r>
        <w:t xml:space="preserve"> </w:t>
      </w:r>
      <w:r>
        <w:t xml:space="preserve">strength of</w:t>
      </w:r>
      <w:r>
        <w:t xml:space="preserve"> </w:t>
      </w:r>
      <w:r>
        <w:t xml:space="preserve">“</w:t>
      </w:r>
      <w:r>
        <w:t xml:space="preserve">modeling.</w:t>
      </w:r>
      <w:r>
        <w:t xml:space="preserve">”</w:t>
      </w:r>
      <w:r>
        <w:t xml:space="preserve">4</w:t>
      </w:r>
      <w:r>
        <w:rPr>
          <w:rStyle w:val="FootnoteReference"/>
        </w:rPr>
        <w:footnoteReference w:id="29"/>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3"/>
      </w:pPr>
      <w:bookmarkStart w:id="30" w:name="analogy"/>
      <w:r>
        <w:t xml:space="preserve">Analogy</w:t>
      </w:r>
      <w:bookmarkEnd w:id="30"/>
    </w:p>
    <w:p>
      <w:pPr>
        <w:pStyle w:val="FirstParagraph"/>
      </w:pPr>
      <w:r>
        <w:t xml:space="preserve">“</w:t>
      </w:r>
      <w:r>
        <w:t xml:space="preserve">Analogy</w:t>
      </w:r>
      <w:r>
        <w:t xml:space="preserve">”</w:t>
      </w:r>
      <w:r>
        <w:t xml:space="preserve"> </w:t>
      </w:r>
      <w:r>
        <w:t xml:space="preserve">(Gk. […]</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career5.</w:t>
      </w:r>
      <w:r>
        <w:rPr>
          <w:rStyle w:val="FootnoteReference"/>
        </w:rPr>
        <w:footnoteReference w:id="31"/>
      </w:r>
      <w:r>
        <w:t xml:space="preserve"> </w:t>
      </w:r>
      <w:r>
        <w:t xml:space="preserve">John Stuart Mill complained that</w:t>
      </w:r>
      <w:r>
        <w:t xml:space="preserve"> </w:t>
      </w:r>
      <w:r>
        <w:t xml:space="preserve">“</w:t>
      </w:r>
      <w:r>
        <w:t xml:space="preserve">no word … is used more loosely, or in a greater variety of senses, than Analogy</w:t>
      </w:r>
      <w:r>
        <w:t xml:space="preserve">”</w:t>
      </w:r>
      <w:r>
        <w:t xml:space="preserve"> </w:t>
      </w:r>
      <w:r>
        <w:t xml:space="preserve">(</w:t>
      </w:r>
      <w:r>
        <w:rPr>
          <w:i/>
        </w:rPr>
        <w:t xml:space="preserve">A System of Logic</w:t>
      </w:r>
      <w:r>
        <w:t xml:space="preserve">,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w:t>
      </w:r>
      <w:r>
        <w:t xml:space="preserve"> </w:t>
      </w:r>
      <w:r>
        <w:t xml:space="preserve">(Gentner 2002)</w:t>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w:t>
      </w:r>
    </w:p>
    <w:p>
      <w:pPr>
        <w:pStyle w:val="Heading2"/>
      </w:pPr>
      <w:bookmarkStart w:id="32" w:name="bibliography"/>
      <w:r>
        <w:t xml:space="preserve">Bibliography</w:t>
      </w:r>
      <w:bookmarkEnd w:id="32"/>
    </w:p>
    <w:bookmarkStart w:id="69" w:name="refs"/>
    <w:bookmarkStart w:id="33" w:name="ref-Achinstein:1968aa"/>
    <w:p>
      <w:pPr>
        <w:pStyle w:val="Bibliography"/>
      </w:pPr>
      <w:r>
        <w:t xml:space="preserve">Achinstein, Peter. 1968.</w:t>
      </w:r>
      <w:r>
        <w:t xml:space="preserve"> </w:t>
      </w:r>
      <w:r>
        <w:rPr>
          <w:i/>
        </w:rPr>
        <w:t xml:space="preserve">Concepts of Science: A Philosophical Analysis</w:t>
      </w:r>
      <w:r>
        <w:t xml:space="preserve">. Johns Hopkins University Press.</w:t>
      </w:r>
    </w:p>
    <w:bookmarkEnd w:id="33"/>
    <w:bookmarkStart w:id="34" w:name="ref-Bailer-Jones:1999aa"/>
    <w:p>
      <w:pPr>
        <w:pStyle w:val="Bibliography"/>
      </w:pPr>
      <w:r>
        <w:t xml:space="preserve">Bailer-Jones, Daniela M. 1999. “Tracing the Development of Models in the Philosophy of Science.” In</w:t>
      </w:r>
      <w:r>
        <w:t xml:space="preserve"> </w:t>
      </w:r>
      <w:r>
        <w:rPr>
          <w:i/>
        </w:rPr>
        <w:t xml:space="preserve">Model-Based Reasoning in Scientific Discovery</w:t>
      </w:r>
      <w:r>
        <w:t xml:space="preserve">, edited by Lorenco Magnani, Nancy J. Nersessian, and Paul Thagard, 23–40. New York: Kluwer Academic/Plenum.</w:t>
      </w:r>
    </w:p>
    <w:bookmarkEnd w:id="34"/>
    <w:bookmarkStart w:id="35" w:name="ref-Bailer-Jones:Bailer-Jones:2002aa"/>
    <w:p>
      <w:pPr>
        <w:pStyle w:val="Bibliography"/>
      </w:pPr>
      <w:r>
        <w:t xml:space="preserve">Bailer-Jones, Daniela M., and Coryn A. L. Bailer-Jones. 2002. “Modeling Data: Analogies in Neural Networks, Simulated Annealing and Genetic Algorithms.” In</w:t>
      </w:r>
      <w:r>
        <w:t xml:space="preserve"> </w:t>
      </w:r>
      <w:r>
        <w:rPr>
          <w:i/>
        </w:rPr>
        <w:t xml:space="preserve">Model-Based Reasoning: Science, Technology, Values</w:t>
      </w:r>
      <w:r>
        <w:t xml:space="preserve">, edited by Lorenco Magnani and Nancy J. Nersessian, 147–65. New York: Kluwer Academic/Plenum.</w:t>
      </w:r>
    </w:p>
    <w:bookmarkEnd w:id="35"/>
    <w:bookmarkStart w:id="36" w:name="ref-Black:1979aa"/>
    <w:p>
      <w:pPr>
        <w:pStyle w:val="Bibliography"/>
      </w:pPr>
      <w:r>
        <w:t xml:space="preserve">Black, Max. 1979. “More About Metaphor.” In</w:t>
      </w:r>
      <w:r>
        <w:t xml:space="preserve"> </w:t>
      </w:r>
      <w:r>
        <w:rPr>
          <w:i/>
        </w:rPr>
        <w:t xml:space="preserve">Metaphor and Thought</w:t>
      </w:r>
      <w:r>
        <w:t xml:space="preserve">, edited by Andrew Ortony, 19–41. Cambridge. Cambridge University Press.</w:t>
      </w:r>
    </w:p>
    <w:bookmarkEnd w:id="36"/>
    <w:bookmarkStart w:id="37" w:name="ref-Cartwright:1983aa"/>
    <w:p>
      <w:pPr>
        <w:pStyle w:val="Bibliography"/>
      </w:pPr>
      <w:r>
        <w:t xml:space="preserve">Cartwright, Nancy. 1983.</w:t>
      </w:r>
      <w:r>
        <w:t xml:space="preserve"> </w:t>
      </w:r>
      <w:r>
        <w:rPr>
          <w:i/>
        </w:rPr>
        <w:t xml:space="preserve">How the Laws of Physics Lie</w:t>
      </w:r>
      <w:r>
        <w:t xml:space="preserve">. Oxford: Clarendon Press.</w:t>
      </w:r>
    </w:p>
    <w:bookmarkEnd w:id="37"/>
    <w:bookmarkStart w:id="38" w:name="ref-Clarke:1972aa"/>
    <w:p>
      <w:pPr>
        <w:pStyle w:val="Bibliography"/>
      </w:pPr>
      <w:r>
        <w:t xml:space="preserve">Clarke, David L., ed. 1972.</w:t>
      </w:r>
      <w:r>
        <w:t xml:space="preserve"> </w:t>
      </w:r>
      <w:r>
        <w:rPr>
          <w:i/>
        </w:rPr>
        <w:t xml:space="preserve">Models in Archaeology</w:t>
      </w:r>
      <w:r>
        <w:t xml:space="preserve">. London: Methuen.</w:t>
      </w:r>
    </w:p>
    <w:bookmarkEnd w:id="38"/>
    <w:bookmarkStart w:id="40" w:name="ref-Del-Re:2000aa"/>
    <w:p>
      <w:pPr>
        <w:pStyle w:val="Bibliography"/>
      </w:pPr>
      <w:r>
        <w:t xml:space="preserve">Del Re, Giuseppe. 2000. “Models and Analogies in Science.”</w:t>
      </w:r>
      <w:r>
        <w:t xml:space="preserve"> </w:t>
      </w:r>
      <w:r>
        <w:rPr>
          <w:i/>
        </w:rPr>
        <w:t xml:space="preserve">Hyle - International Journal for the Philosophy of Chemistry</w:t>
      </w:r>
      <w:r>
        <w:t xml:space="preserve"> </w:t>
      </w:r>
      <w:r>
        <w:t xml:space="preserve">6 (1): 5–15.</w:t>
      </w:r>
      <w:r>
        <w:t xml:space="preserve"> </w:t>
      </w:r>
      <w:hyperlink r:id="rId39">
        <w:r>
          <w:rPr>
            <w:rStyle w:val="Hyperlink"/>
          </w:rPr>
          <w:t xml:space="preserve">http://www.hyle.Org/journal/issues/6/delre.htm</w:t>
        </w:r>
      </w:hyperlink>
      <w:r>
        <w:t xml:space="preserve">.</w:t>
      </w:r>
    </w:p>
    <w:bookmarkEnd w:id="40"/>
    <w:bookmarkStart w:id="41" w:name="ref-Dening:1996aa"/>
    <w:p>
      <w:pPr>
        <w:pStyle w:val="Bibliography"/>
      </w:pPr>
      <w:r>
        <w:t xml:space="preserve">Dening, Greg. 1996.</w:t>
      </w:r>
      <w:r>
        <w:t xml:space="preserve"> </w:t>
      </w:r>
      <w:r>
        <w:rPr>
          <w:i/>
        </w:rPr>
        <w:t xml:space="preserve">Performances</w:t>
      </w:r>
      <w:r>
        <w:t xml:space="preserve">. Chicago: University of Chicago Press.</w:t>
      </w:r>
    </w:p>
    <w:bookmarkEnd w:id="41"/>
    <w:bookmarkStart w:id="42" w:name="ref-Dening:1998aa"/>
    <w:p>
      <w:pPr>
        <w:pStyle w:val="Bibliography"/>
      </w:pPr>
      <w:r>
        <w:t xml:space="preserve">———. 1998.</w:t>
      </w:r>
      <w:r>
        <w:t xml:space="preserve"> </w:t>
      </w:r>
      <w:r>
        <w:rPr>
          <w:i/>
        </w:rPr>
        <w:t xml:space="preserve">Readings/Writings</w:t>
      </w:r>
      <w:r>
        <w:t xml:space="preserve">. Melbourne: University of Melbourne Press.</w:t>
      </w:r>
    </w:p>
    <w:bookmarkEnd w:id="42"/>
    <w:bookmarkStart w:id="43" w:name="ref-Fetzer:1999aa"/>
    <w:p>
      <w:pPr>
        <w:pStyle w:val="Bibliography"/>
      </w:pPr>
      <w:r>
        <w:t xml:space="preserve">Fetzer, James H. 1999. “The Role of Models in Computer Science.”</w:t>
      </w:r>
      <w:r>
        <w:t xml:space="preserve"> </w:t>
      </w:r>
      <w:r>
        <w:rPr>
          <w:i/>
        </w:rPr>
        <w:t xml:space="preserve">Monist</w:t>
      </w:r>
      <w:r>
        <w:t xml:space="preserve"> </w:t>
      </w:r>
      <w:r>
        <w:t xml:space="preserve">82 (1): 20–36.</w:t>
      </w:r>
    </w:p>
    <w:bookmarkEnd w:id="43"/>
    <w:bookmarkStart w:id="44" w:name="ref-Fodor:1995aa"/>
    <w:p>
      <w:pPr>
        <w:pStyle w:val="Bibliography"/>
      </w:pPr>
      <w:r>
        <w:t xml:space="preserve">Fodor, Jerry. 1995. “West Coast Fuzzy. Review of Paul M. Churchland, the Engine of Reason, the Seat of the Soul.”</w:t>
      </w:r>
      <w:r>
        <w:t xml:space="preserve"> </w:t>
      </w:r>
      <w:r>
        <w:rPr>
          <w:i/>
        </w:rPr>
        <w:t xml:space="preserve">Times Literary Supplement (August 25)</w:t>
      </w:r>
      <w:r>
        <w:t xml:space="preserve">.</w:t>
      </w:r>
    </w:p>
    <w:bookmarkEnd w:id="44"/>
    <w:bookmarkStart w:id="45" w:name="ref-Geertz:1973aa"/>
    <w:p>
      <w:pPr>
        <w:pStyle w:val="Bibliography"/>
      </w:pPr>
      <w:r>
        <w:t xml:space="preserve">Geertz, Clifford. 1973.</w:t>
      </w:r>
      <w:r>
        <w:t xml:space="preserve"> </w:t>
      </w:r>
      <w:r>
        <w:rPr>
          <w:i/>
        </w:rPr>
        <w:t xml:space="preserve">The Interpretation of Cultures: Selected Essays.</w:t>
      </w:r>
      <w:r>
        <w:t xml:space="preserve"> </w:t>
      </w:r>
      <w:r>
        <w:t xml:space="preserve">New York: Basic Books.</w:t>
      </w:r>
    </w:p>
    <w:bookmarkEnd w:id="45"/>
    <w:bookmarkStart w:id="46" w:name="ref-Gentner:2002aa"/>
    <w:p>
      <w:pPr>
        <w:pStyle w:val="Bibliography"/>
      </w:pPr>
      <w:r>
        <w:t xml:space="preserve">Gentner, Dedre. 2002. “Analogy in Scientific Discovery: The Case of Johannes Kepler.” In</w:t>
      </w:r>
      <w:r>
        <w:t xml:space="preserve"> </w:t>
      </w:r>
      <w:r>
        <w:rPr>
          <w:i/>
        </w:rPr>
        <w:t xml:space="preserve">Model-Based Reasoning: Science, Technology, Values</w:t>
      </w:r>
      <w:r>
        <w:t xml:space="preserve">, edited by Lorenco Magnani and Nancy J. Nersessian, 21–39. New York: Kluwer Academic/Plenum.</w:t>
      </w:r>
    </w:p>
    <w:bookmarkEnd w:id="46"/>
    <w:bookmarkStart w:id="47" w:name="ref-Gibbs:1994aa"/>
    <w:p>
      <w:pPr>
        <w:pStyle w:val="Bibliography"/>
      </w:pPr>
      <w:r>
        <w:t xml:space="preserve">Gibbs, Jr., Raymond W. 1994.</w:t>
      </w:r>
      <w:r>
        <w:t xml:space="preserve"> </w:t>
      </w:r>
      <w:r>
        <w:rPr>
          <w:i/>
        </w:rPr>
        <w:t xml:space="preserve">The Poetics of Mind: Figurative Thought, Language, and Understanding</w:t>
      </w:r>
      <w:r>
        <w:t xml:space="preserve">. Cambridge: Cambridge University Press.</w:t>
      </w:r>
    </w:p>
    <w:bookmarkEnd w:id="47"/>
    <w:bookmarkStart w:id="48" w:name="ref-Gooding:2000aa"/>
    <w:p>
      <w:pPr>
        <w:pStyle w:val="Bibliography"/>
      </w:pPr>
      <w:r>
        <w:t xml:space="preserve">Gooding, David C. 2000. “Experiment.” In</w:t>
      </w:r>
      <w:r>
        <w:t xml:space="preserve"> </w:t>
      </w:r>
      <w:r>
        <w:rPr>
          <w:i/>
        </w:rPr>
        <w:t xml:space="preserve">A Companion to the Philosophy of Science</w:t>
      </w:r>
      <w:r>
        <w:t xml:space="preserve">, edited by W. H. Newton-Smith, 117–26. Oxford: Blackwell.</w:t>
      </w:r>
    </w:p>
    <w:bookmarkEnd w:id="48"/>
    <w:bookmarkStart w:id="49" w:name="ref-Hacking:1983aa"/>
    <w:p>
      <w:pPr>
        <w:pStyle w:val="Bibliography"/>
      </w:pPr>
      <w:r>
        <w:t xml:space="preserve">Hacking, Ian. 1983.</w:t>
      </w:r>
      <w:r>
        <w:t xml:space="preserve"> </w:t>
      </w:r>
      <w:r>
        <w:rPr>
          <w:i/>
        </w:rPr>
        <w:t xml:space="preserve">Representing and Intervening: Introductory Topics in the Philosophy of Natural Science</w:t>
      </w:r>
      <w:r>
        <w:t xml:space="preserve">. Cambridge: Cambridge University Press.</w:t>
      </w:r>
    </w:p>
    <w:bookmarkEnd w:id="49"/>
    <w:bookmarkStart w:id="50" w:name="ref-Holyoak:Thagard:1997aa"/>
    <w:p>
      <w:pPr>
        <w:pStyle w:val="Bibliography"/>
      </w:pPr>
      <w:r>
        <w:t xml:space="preserve">Holyoak, Keith J., and Paul Thagard. 1997. “The Analogical Mind.”</w:t>
      </w:r>
      <w:r>
        <w:t xml:space="preserve"> </w:t>
      </w:r>
      <w:r>
        <w:rPr>
          <w:i/>
        </w:rPr>
        <w:t xml:space="preserve">American Psychologist</w:t>
      </w:r>
      <w:r>
        <w:t xml:space="preserve"> </w:t>
      </w:r>
      <w:r>
        <w:t xml:space="preserve">52 (1): 35–44.</w:t>
      </w:r>
    </w:p>
    <w:bookmarkEnd w:id="50"/>
    <w:bookmarkStart w:id="51" w:name="ref-Johnson:2002aa"/>
    <w:p>
      <w:pPr>
        <w:pStyle w:val="Bibliography"/>
      </w:pPr>
      <w:r>
        <w:t xml:space="preserve">Johnson, Mark. 2002. “Metaphor-Based Values in Scientific Models.” In</w:t>
      </w:r>
      <w:r>
        <w:t xml:space="preserve"> </w:t>
      </w:r>
      <w:r>
        <w:rPr>
          <w:i/>
        </w:rPr>
        <w:t xml:space="preserve">Model-Based Reasoning: Science, Technology, Values</w:t>
      </w:r>
      <w:r>
        <w:t xml:space="preserve">, edited by Lorenco Magnani and Nancy J. Nersessian, 1–19. New York: Kluwer Academic/Plenum.</w:t>
      </w:r>
    </w:p>
    <w:bookmarkEnd w:id="51"/>
    <w:bookmarkStart w:id="52" w:name="ref-Leatherdale:1974aa"/>
    <w:p>
      <w:pPr>
        <w:pStyle w:val="Bibliography"/>
      </w:pPr>
      <w:r>
        <w:t xml:space="preserve">Leatherdale, W. H. 1974.</w:t>
      </w:r>
      <w:r>
        <w:t xml:space="preserve"> </w:t>
      </w:r>
      <w:r>
        <w:rPr>
          <w:i/>
        </w:rPr>
        <w:t xml:space="preserve">The Role of Analogy, Model and Metaphor in Science</w:t>
      </w:r>
      <w:r>
        <w:t xml:space="preserve">. Amsterdam: North Holland Publishing.</w:t>
      </w:r>
    </w:p>
    <w:bookmarkEnd w:id="52"/>
    <w:bookmarkStart w:id="53" w:name="ref-Leff:1972aa"/>
    <w:p>
      <w:pPr>
        <w:pStyle w:val="Bibliography"/>
      </w:pPr>
      <w:r>
        <w:t xml:space="preserve">Leff, Gordon. 1972. “Models Inherent in History.” In</w:t>
      </w:r>
      <w:r>
        <w:t xml:space="preserve"> </w:t>
      </w:r>
      <w:r>
        <w:rPr>
          <w:i/>
        </w:rPr>
        <w:t xml:space="preserve">The Rules of the Game: Cross-Disciplinary Essays on Models in Scholarly Thought</w:t>
      </w:r>
      <w:r>
        <w:t xml:space="preserve">, edited by Teodor Shanin, 148–74. London: Tavistock.</w:t>
      </w:r>
    </w:p>
    <w:bookmarkEnd w:id="53"/>
    <w:bookmarkStart w:id="54" w:name="ref-Lloyd:1998aa"/>
    <w:p>
      <w:pPr>
        <w:pStyle w:val="Bibliography"/>
      </w:pPr>
      <w:r>
        <w:t xml:space="preserve">Lloyd, Elisabeth A. 1998. “Models.” In</w:t>
      </w:r>
      <w:r>
        <w:t xml:space="preserve"> </w:t>
      </w:r>
      <w:r>
        <w:rPr>
          <w:i/>
        </w:rPr>
        <w:t xml:space="preserve">Routledge Encyclopedia of Philosophy</w:t>
      </w:r>
      <w:r>
        <w:t xml:space="preserve">. London: Routledge.</w:t>
      </w:r>
    </w:p>
    <w:bookmarkEnd w:id="54"/>
    <w:bookmarkStart w:id="55" w:name="ref-McCarty:2002aa"/>
    <w:p>
      <w:pPr>
        <w:pStyle w:val="Bibliography"/>
      </w:pPr>
      <w:r>
        <w:t xml:space="preserve">McCarty, Willard. 2002. “A Network with a Thousand Entrances: Commentary in an Electronic Age?” In</w:t>
      </w:r>
      <w:r>
        <w:t xml:space="preserve"> </w:t>
      </w:r>
      <w:r>
        <w:rPr>
          <w:i/>
        </w:rPr>
        <w:t xml:space="preserve">The Classical Commentary: Histories, Practices, Theory</w:t>
      </w:r>
      <w:r>
        <w:t xml:space="preserve">, edited by Roy K. Gibson and Christina S. Kraus, 359–402. Leiden: Brill.</w:t>
      </w:r>
    </w:p>
    <w:bookmarkEnd w:id="55"/>
    <w:bookmarkStart w:id="57" w:name="ref-Minsky:1995aa"/>
    <w:p>
      <w:pPr>
        <w:pStyle w:val="Bibliography"/>
      </w:pPr>
      <w:r>
        <w:t xml:space="preserve">Minsky, Marvin. 1995. “Matter, Mind and Models.”</w:t>
      </w:r>
      <w:r>
        <w:t xml:space="preserve"> </w:t>
      </w:r>
      <w:hyperlink r:id="rId56">
        <w:r>
          <w:rPr>
            <w:rStyle w:val="Hyperlink"/>
          </w:rPr>
          <w:t xml:space="preserve">http://medg.lcs.mit.edu/people/doyle/gallery/minsky.mmm.html</w:t>
        </w:r>
      </w:hyperlink>
      <w:r>
        <w:t xml:space="preserve">.</w:t>
      </w:r>
    </w:p>
    <w:bookmarkEnd w:id="57"/>
    <w:bookmarkStart w:id="58" w:name="ref-Mironesco:2002aa"/>
    <w:p>
      <w:pPr>
        <w:pStyle w:val="Bibliography"/>
      </w:pPr>
      <w:r>
        <w:t xml:space="preserve">Mironesco, Christine. 2002. “The Role of Models in Comparative Politics.” In</w:t>
      </w:r>
      <w:r>
        <w:t xml:space="preserve"> </w:t>
      </w:r>
      <w:r>
        <w:rPr>
          <w:i/>
        </w:rPr>
        <w:t xml:space="preserve">The Explanatory Power of Models</w:t>
      </w:r>
      <w:r>
        <w:t xml:space="preserve">, edited by Robert Franck, 1:181–95. Methodos Series. Dordrecht: Kluwer Academic.</w:t>
      </w:r>
    </w:p>
    <w:bookmarkEnd w:id="58"/>
    <w:bookmarkStart w:id="59" w:name="ref-Mitchell:1993aa"/>
    <w:p>
      <w:pPr>
        <w:pStyle w:val="Bibliography"/>
      </w:pPr>
      <w:r>
        <w:t xml:space="preserve">Mitchell, Melanie. 1993.</w:t>
      </w:r>
      <w:r>
        <w:t xml:space="preserve"> </w:t>
      </w:r>
      <w:r>
        <w:rPr>
          <w:i/>
        </w:rPr>
        <w:t xml:space="preserve">Analogy-Making as Perception</w:t>
      </w:r>
      <w:r>
        <w:t xml:space="preserve">. Cambridge: MIT Press.</w:t>
      </w:r>
    </w:p>
    <w:bookmarkEnd w:id="59"/>
    <w:bookmarkStart w:id="60" w:name="ref-Morgan:Morrison:1999aa"/>
    <w:p>
      <w:pPr>
        <w:pStyle w:val="Bibliography"/>
      </w:pPr>
      <w:r>
        <w:t xml:space="preserve">Morgan, Mary S., and Margaret Morrison, eds. 1999.</w:t>
      </w:r>
      <w:r>
        <w:t xml:space="preserve"> </w:t>
      </w:r>
      <w:r>
        <w:rPr>
          <w:i/>
        </w:rPr>
        <w:t xml:space="preserve">Models as Mediators: Perspectives on Natural and Social Science</w:t>
      </w:r>
      <w:r>
        <w:t xml:space="preserve">. Ideas in Context 52. Cambridge: Cambridge University Press.</w:t>
      </w:r>
    </w:p>
    <w:bookmarkEnd w:id="60"/>
    <w:bookmarkStart w:id="61" w:name="ref-Shelley:2002aa"/>
    <w:p>
      <w:pPr>
        <w:pStyle w:val="Bibliography"/>
      </w:pPr>
      <w:r>
        <w:t xml:space="preserve">Shelley, C. 2002. “Analogy Counterarguments and the Acceptability of Analogical Hypotheses.”</w:t>
      </w:r>
      <w:r>
        <w:t xml:space="preserve"> </w:t>
      </w:r>
      <w:r>
        <w:rPr>
          <w:i/>
        </w:rPr>
        <w:t xml:space="preserve">The British Journal for the Philosophy of Science</w:t>
      </w:r>
      <w:r>
        <w:t xml:space="preserve"> </w:t>
      </w:r>
      <w:r>
        <w:t xml:space="preserve">53 (4): 477–96.</w:t>
      </w:r>
    </w:p>
    <w:bookmarkEnd w:id="61"/>
    <w:bookmarkStart w:id="62" w:name="ref-Smith:1995aa"/>
    <w:p>
      <w:pPr>
        <w:pStyle w:val="Bibliography"/>
      </w:pPr>
      <w:r>
        <w:t xml:space="preserve">Smith, Brian Cantwell. 1995. “Limits of Correctness in Computers.” In</w:t>
      </w:r>
      <w:r>
        <w:t xml:space="preserve"> </w:t>
      </w:r>
      <w:r>
        <w:rPr>
          <w:i/>
        </w:rPr>
        <w:t xml:space="preserve">Computers, Ethics &amp; Social Values</w:t>
      </w:r>
      <w:r>
        <w:t xml:space="preserve">, edited by Deborah G. Johnson and Helen F. Nissenbaum, 456–69. Englewood Cliffs, NJ: Prentice Hall.</w:t>
      </w:r>
    </w:p>
    <w:bookmarkEnd w:id="62"/>
    <w:bookmarkStart w:id="63" w:name="ref-Toulmin:1953aa"/>
    <w:p>
      <w:pPr>
        <w:pStyle w:val="Bibliography"/>
      </w:pPr>
      <w:r>
        <w:t xml:space="preserve">Toulmin, Stephen. 1953.</w:t>
      </w:r>
      <w:r>
        <w:t xml:space="preserve"> </w:t>
      </w:r>
      <w:r>
        <w:rPr>
          <w:i/>
        </w:rPr>
        <w:t xml:space="preserve">The Philosophy of Science</w:t>
      </w:r>
      <w:r>
        <w:t xml:space="preserve">. London: Hutchinson University Library.</w:t>
      </w:r>
    </w:p>
    <w:bookmarkEnd w:id="63"/>
    <w:bookmarkStart w:id="64" w:name="ref-Turner:1995aa"/>
    <w:p>
      <w:pPr>
        <w:pStyle w:val="Bibliography"/>
      </w:pPr>
      <w:r>
        <w:t xml:space="preserve">Turner, Mark. 1995. “Raymond W. Gibbs, Jr., the Poetics of Mind: Figurative Thought, Language, and Understanding.”</w:t>
      </w:r>
      <w:r>
        <w:t xml:space="preserve"> </w:t>
      </w:r>
      <w:r>
        <w:rPr>
          <w:i/>
        </w:rPr>
        <w:t xml:space="preserve">Pragmatics and Cognition</w:t>
      </w:r>
      <w:r>
        <w:t xml:space="preserve"> </w:t>
      </w:r>
      <w:r>
        <w:t xml:space="preserve">3 (1): 181–87.</w:t>
      </w:r>
    </w:p>
    <w:bookmarkEnd w:id="64"/>
    <w:bookmarkStart w:id="65" w:name="ref-Turner:1996aa"/>
    <w:p>
      <w:pPr>
        <w:pStyle w:val="Bibliography"/>
      </w:pPr>
      <w:r>
        <w:t xml:space="preserve">———. 1996.</w:t>
      </w:r>
      <w:r>
        <w:t xml:space="preserve"> </w:t>
      </w:r>
      <w:r>
        <w:rPr>
          <w:i/>
        </w:rPr>
        <w:t xml:space="preserve">Literary Mind: The Origins of Thought and Language</w:t>
      </w:r>
      <w:r>
        <w:t xml:space="preserve">. Oxford: Oxford University Press.</w:t>
      </w:r>
    </w:p>
    <w:bookmarkEnd w:id="65"/>
    <w:bookmarkStart w:id="66" w:name="ref-Wimsatt:1987aa"/>
    <w:p>
      <w:pPr>
        <w:pStyle w:val="Bibliography"/>
      </w:pPr>
      <w:r>
        <w:t xml:space="preserve">Wimsatt, William C. 1987. “False Models as Means to Truer Theories.” In</w:t>
      </w:r>
      <w:r>
        <w:t xml:space="preserve"> </w:t>
      </w:r>
      <w:r>
        <w:rPr>
          <w:i/>
        </w:rPr>
        <w:t xml:space="preserve">Neutral Models in Biology</w:t>
      </w:r>
      <w:r>
        <w:t xml:space="preserve">, edited by Matthew H. Nitecki and Antoni Hoffman, 23–55. Oxford: Oxford University Press.</w:t>
      </w:r>
    </w:p>
    <w:bookmarkEnd w:id="66"/>
    <w:bookmarkStart w:id="67" w:name="ref-Winograd:1991aa"/>
    <w:p>
      <w:pPr>
        <w:pStyle w:val="Bibliography"/>
      </w:pPr>
      <w:r>
        <w:t xml:space="preserve">Winograd, Terry. 1991. “Thinking Machines: Can There Be? Are We?” In</w:t>
      </w:r>
      <w:r>
        <w:t xml:space="preserve"> </w:t>
      </w:r>
      <w:r>
        <w:rPr>
          <w:i/>
        </w:rPr>
        <w:t xml:space="preserve">The Boundaries of Humanity: Humans, Animals, Machines</w:t>
      </w:r>
      <w:r>
        <w:t xml:space="preserve">, edited by James J. Sheehan and Morton Sosna. Berkeley: University of California Press.</w:t>
      </w:r>
    </w:p>
    <w:bookmarkEnd w:id="67"/>
    <w:bookmarkStart w:id="68" w:name="ref-Ziman:2000aa"/>
    <w:p>
      <w:pPr>
        <w:pStyle w:val="Bibliography"/>
      </w:pPr>
      <w:r>
        <w:t xml:space="preserve">Ziman, John. 2000.</w:t>
      </w:r>
      <w:r>
        <w:t xml:space="preserve"> </w:t>
      </w:r>
      <w:r>
        <w:rPr>
          <w:i/>
        </w:rPr>
        <w:t xml:space="preserve">Real Science: What It Is, and What It Means</w:t>
      </w:r>
      <w:r>
        <w:t xml:space="preserve">. Cambridge: Cambridge University Press.</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w:t>
      </w:r>
      <w:r>
        <w:t xml:space="preserve"> </w:t>
      </w:r>
      <w:r>
        <w:t xml:space="preserve">(Bailer-Jones 1999)</w:t>
      </w:r>
      <w:r>
        <w:t xml:space="preserve">.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w:t>
      </w:r>
      <w:r>
        <w:t xml:space="preserve"> </w:t>
      </w:r>
      <w:r>
        <w:t xml:space="preserve">(Hacking 1983)</w:t>
      </w:r>
      <w:r>
        <w:t xml:space="preserve">;</w:t>
      </w:r>
      <w:r>
        <w:t xml:space="preserve"> </w:t>
      </w:r>
      <w:r>
        <w:t xml:space="preserve">(Gooding 2000)</w:t>
      </w:r>
      <w:r>
        <w:t xml:space="preserve">. Quite helpful in rethinking the basic issues for the humanities are the writings from the disciplines other than physics, e.g.,</w:t>
      </w:r>
      <w:r>
        <w:t xml:space="preserve"> </w:t>
      </w:r>
      <w:r>
        <w:t xml:space="preserve">(Clarke 1972)</w:t>
      </w:r>
      <w:r>
        <w:t xml:space="preserve"> </w:t>
      </w:r>
      <w:r>
        <w:t xml:space="preserve">on archaeology;</w:t>
      </w:r>
      <w:r>
        <w:t xml:space="preserve"> </w:t>
      </w:r>
      <w:r>
        <w:t xml:space="preserve">(Wimsatt 1987)</w:t>
      </w:r>
      <w:r>
        <w:t xml:space="preserve"> </w:t>
      </w:r>
      <w:r>
        <w:t xml:space="preserve">on biology;</w:t>
      </w:r>
      <w:r>
        <w:t xml:space="preserve"> </w:t>
      </w:r>
      <w:r>
        <w:t xml:space="preserve">(Del Re 2000)</w:t>
      </w:r>
      <w:r>
        <w:t xml:space="preserve"> </w:t>
      </w:r>
      <w:r>
        <w:t xml:space="preserve">on chemistry; and on the social sciences, the essays by de Callatay, Mironesco, Burch, and Gardin in Franck (2002). For interdisciplinary studies see Shanin(1972) and Morrison and Morgan (1999), esp. </w:t>
      </w:r>
      <w:r>
        <w:t xml:space="preserve">“</w:t>
      </w:r>
      <w:r>
        <w:t xml:space="preserve">Models as Mediating Instruments</w:t>
      </w:r>
      <w:r>
        <w:t xml:space="preserve">”</w:t>
      </w:r>
      <w:r>
        <w:t xml:space="preserve"> </w:t>
      </w:r>
      <w:r>
        <w:t xml:space="preserve">(pp. 10–37). For an overview see</w:t>
      </w:r>
      <w:r>
        <w:t xml:space="preserve"> </w:t>
      </w:r>
      <w:r>
        <w:t xml:space="preserve">(Lloyd 1998)</w:t>
      </w:r>
      <w:r>
        <w:t xml:space="preserve">.</w:t>
      </w:r>
    </w:p>
  </w:footnote>
  <w:footnote w:id="25">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(1960: 98). Similar distinctions are quite common in the literature.</w:t>
      </w:r>
    </w:p>
  </w:footnote>
  <w:footnote w:id="26">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w:t>
      </w:r>
      <w:r>
        <w:t xml:space="preserve"> </w:t>
      </w:r>
      <w:r>
        <w:rPr>
          <w:i/>
        </w:rPr>
        <w:t xml:space="preserve">New York Science Times</w:t>
      </w:r>
      <w:r>
        <w:t xml:space="preserve">: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w:t>
      </w:r>
      <w:r>
        <w:t xml:space="preserve">.More serious criticism is leveled by Terry Winograd</w:t>
      </w:r>
      <w:r>
        <w:t xml:space="preserve"> </w:t>
      </w:r>
      <w:r>
        <w:t xml:space="preserve">(Winograd 1991, 207–8)</w:t>
      </w:r>
      <w:r>
        <w:t xml:space="preserve">; see below.</w:t>
      </w:r>
    </w:p>
  </w:footnote>
  <w:footnote w:id="29">
    <w:p>
      <w:pPr>
        <w:pStyle w:val="FootnoteText"/>
      </w:pPr>
      <w:r>
        <w:rPr>
          <w:rStyle w:val="FootnoteReference"/>
        </w:rPr>
        <w:footnoteRef/>
      </w:r>
      <w:r>
        <w:t xml:space="preserve"> </w:t>
      </w:r>
      <w:r>
        <w:t xml:space="preserve">I have in mind the present</w:t>
      </w:r>
      <w:r>
        <w:softHyphen/>
      </w:r>
      <w:r>
        <w:t xml:space="preserve">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 see also 1996, 35–63)</w:t>
      </w:r>
      <w:r>
        <w:t xml:space="preserve">.</w:t>
      </w:r>
    </w:p>
  </w:footnote>
  <w:footnote w:id="31">
    <w:p>
      <w:pPr>
        <w:pStyle w:val="FootnoteText"/>
      </w:pPr>
      <w:r>
        <w:rPr>
          <w:rStyle w:val="FootnoteReference"/>
        </w:rPr>
        <w:footnoteRef/>
      </w:r>
      <w:r>
        <w:t xml:space="preserve"> </w:t>
      </w:r>
      <w:r>
        <w:t xml:space="preserve">For the concept in imaginative language and thought see</w:t>
      </w:r>
      <w:r>
        <w:t xml:space="preserve"> </w:t>
      </w:r>
      <w:r>
        <w:t xml:space="preserve">(Gibbs 1994; reviewd by Turner 1995, 1996)</w:t>
      </w:r>
      <w:r>
        <w:t xml:space="preserve">; in computer science, Hoffman (1995) – whose summary of research is quite valuable; in cognitive science, including psychology,</w:t>
      </w:r>
      <w:r>
        <w:t xml:space="preserve"> </w:t>
      </w:r>
      <w:r>
        <w:t xml:space="preserve">(Mitchell 1993)</w:t>
      </w:r>
      <w:r>
        <w:t xml:space="preserve">,</w:t>
      </w:r>
      <w:r>
        <w:t xml:space="preserve"> </w:t>
      </w:r>
      <w:r>
        <w:t xml:space="preserve">(Holyoak and Thagard 1997)</w:t>
      </w:r>
      <w:r>
        <w:t xml:space="preserve">; in the philosophy of science,</w:t>
      </w:r>
      <w:r>
        <w:t xml:space="preserve"> </w:t>
      </w:r>
      <w:r>
        <w:t xml:space="preserve">(Achinstein 1968)</w:t>
      </w:r>
      <w:r>
        <w:t xml:space="preserve">,</w:t>
      </w:r>
      <w:r>
        <w:t xml:space="preserve"> </w:t>
      </w:r>
      <w:r>
        <w:t xml:space="preserve">(Leatherdale 1974)</w:t>
      </w:r>
      <w:r>
        <w:t xml:space="preserve">,</w:t>
      </w:r>
      <w:r>
        <w:t xml:space="preserve"> </w:t>
      </w:r>
      <w:r>
        <w:t xml:space="preserve">(Gentner 2002)</w:t>
      </w:r>
      <w:r>
        <w:t xml:space="preserve">,</w:t>
      </w:r>
      <w:r>
        <w:t xml:space="preserve"> </w:t>
      </w:r>
      <w:r>
        <w:t xml:space="preserve">(Shelley 2002)</w:t>
      </w:r>
      <w:r>
        <w:t xml:space="preserve">; in relation to modeling,</w:t>
      </w:r>
      <w:r>
        <w:t xml:space="preserve"> </w:t>
      </w:r>
      <w:r>
        <w:t xml:space="preserve">(Bailer-Jones 1999)</w:t>
      </w:r>
      <w:r>
        <w:t xml:space="preserve">,</w:t>
      </w:r>
      <w:r>
        <w:t xml:space="preserve"> </w:t>
      </w:r>
      <w:r>
        <w:t xml:space="preserve">(Bailer-Jones and Bailer-Jones 2002)</w:t>
      </w:r>
      <w:r>
        <w:t xml:space="preserve">. I do not deal here with metaphor in relation to modeling, for which see</w:t>
      </w:r>
      <w:r>
        <w:t xml:space="preserve"> </w:t>
      </w:r>
      <w:r>
        <w:t xml:space="preserve">(Black 1979)</w:t>
      </w:r>
      <w:r>
        <w:t xml:space="preserve">,</w:t>
      </w:r>
      <w:r>
        <w:t xml:space="preserve"> </w:t>
      </w:r>
      <w:r>
        <w:t xml:space="preserve">(Johnson 2002)</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medg.lcs.mit.edu/people/doyle/gallery/minsky.mmm.html" TargetMode="External" /><Relationship Type="http://schemas.openxmlformats.org/officeDocument/2006/relationships/hyperlink" Id="rId39" Target="http://www.hyle.Org/journal/issues/6/delre.htm" TargetMode="External" /></Relationships>
</file>

<file path=word/_rels/footnotes.xml.rels><?xml version="1.0" encoding="UTF-8"?>
<Relationships xmlns="http://schemas.openxmlformats.org/package/2006/relationships"><Relationship Type="http://schemas.openxmlformats.org/officeDocument/2006/relationships/hyperlink" Id="rId56" Target="http://medg.lcs.mit.edu/people/doyle/gallery/minsky.mmm.html" TargetMode="External" /><Relationship Type="http://schemas.openxmlformats.org/officeDocument/2006/relationships/hyperlink" Id="rId39" Target="http://www.hyle.Org/journal/issues/6/delr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Exercise in Modeling Text with Markdown and Pandoc by Regina Jonach</dc:title>
  <dc:creator>Textmodeling executed by Regina Jonach</dc:creator>
  <cp:keywords/>
  <dcterms:created xsi:type="dcterms:W3CDTF">2019-04-07T17:35:08Z</dcterms:created>
  <dcterms:modified xsi:type="dcterms:W3CDTF">2019-04-07T17:35:08Z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modeling.bib</vt:lpwstr>
  </property>
  <property fmtid="{D5CDD505-2E9C-101B-9397-08002B2CF9AE}" pid="3" name="csl">
    <vt:lpwstr>chicago-author-date.csl</vt:lpwstr>
  </property>
  <property fmtid="{D5CDD505-2E9C-101B-9397-08002B2CF9AE}" pid="4" name="date">
    <vt:lpwstr/>
  </property>
  <property fmtid="{D5CDD505-2E9C-101B-9397-08002B2CF9AE}" pid="5" name="subtitle">
    <vt:lpwstr>from - “A Study in Words and Meanings” by Williad McCarty</vt:lpwstr>
  </property>
</Properties>
</file>