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9121C" w14:textId="16252B92" w:rsidR="00795A00" w:rsidRPr="00817002" w:rsidRDefault="00795A00" w:rsidP="00795A00">
      <w:pPr>
        <w:pBdr>
          <w:bottom w:val="single" w:sz="4" w:space="1" w:color="auto"/>
        </w:pBdr>
        <w:spacing w:line="240" w:lineRule="auto"/>
        <w:ind w:left="-284"/>
        <w:rPr>
          <w:rFonts w:ascii="Times New Roman" w:hAnsi="Times New Roman" w:cs="Times New Roman"/>
          <w:b/>
          <w:bCs/>
          <w:sz w:val="16"/>
          <w:szCs w:val="1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Scientific p</w:t>
      </w:r>
      <w:r w:rsidRPr="0000609B">
        <w:rPr>
          <w:rFonts w:ascii="Times New Roman" w:hAnsi="Times New Roman" w:cs="Times New Roman"/>
          <w:b/>
          <w:bCs/>
          <w:sz w:val="24"/>
          <w:szCs w:val="24"/>
        </w:rPr>
        <w:t>ublication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s </w:t>
      </w:r>
    </w:p>
    <w:p w14:paraId="6478A5BF" w14:textId="77777777" w:rsidR="00795A00" w:rsidRPr="0000609B" w:rsidRDefault="00795A00" w:rsidP="00795A00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line="240" w:lineRule="auto"/>
        <w:ind w:left="480" w:hanging="48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00609B">
        <w:rPr>
          <w:rFonts w:ascii="Times New Roman" w:hAnsi="Times New Roman" w:cs="Times New Roman"/>
          <w:sz w:val="24"/>
          <w:szCs w:val="24"/>
        </w:rPr>
        <w:fldChar w:fldCharType="begin" w:fldLock="1"/>
      </w:r>
      <w:r w:rsidRPr="0000609B">
        <w:rPr>
          <w:rFonts w:ascii="Times New Roman" w:hAnsi="Times New Roman" w:cs="Times New Roman"/>
          <w:sz w:val="24"/>
          <w:szCs w:val="24"/>
        </w:rPr>
        <w:instrText xml:space="preserve">ADDIN Mendeley Bibliography CSL_BIBLIOGRAPHY </w:instrText>
      </w:r>
      <w:r w:rsidRPr="0000609B">
        <w:rPr>
          <w:rFonts w:ascii="Times New Roman" w:hAnsi="Times New Roman" w:cs="Times New Roman"/>
          <w:sz w:val="24"/>
          <w:szCs w:val="24"/>
        </w:rPr>
        <w:fldChar w:fldCharType="separate"/>
      </w:r>
      <w:r w:rsidRPr="0000609B">
        <w:rPr>
          <w:rFonts w:ascii="Times New Roman" w:hAnsi="Times New Roman" w:cs="Times New Roman"/>
          <w:b/>
          <w:bCs/>
          <w:noProof/>
          <w:sz w:val="24"/>
          <w:szCs w:val="24"/>
        </w:rPr>
        <w:t>Reta K</w:t>
      </w:r>
      <w:r w:rsidRPr="0000609B">
        <w:rPr>
          <w:rFonts w:ascii="Times New Roman" w:hAnsi="Times New Roman" w:cs="Times New Roman"/>
          <w:noProof/>
          <w:sz w:val="24"/>
          <w:szCs w:val="24"/>
        </w:rPr>
        <w:t xml:space="preserve">., Lupo Y., Persi N.S., Lazarovitch N. and Fait A. (2025). Modulation of phenology and agronomical performance of Syrah grafted on two rootstocks under combined salinity and water stress conditions: A three-year field study. </w:t>
      </w:r>
      <w:r w:rsidRPr="0000609B">
        <w:rPr>
          <w:rFonts w:ascii="Times New Roman" w:hAnsi="Times New Roman" w:cs="Times New Roman"/>
          <w:i/>
          <w:iCs/>
          <w:noProof/>
          <w:sz w:val="24"/>
          <w:szCs w:val="24"/>
        </w:rPr>
        <w:t>Plant Stress</w:t>
      </w:r>
      <w:r w:rsidRPr="0000609B">
        <w:rPr>
          <w:rFonts w:ascii="Times New Roman" w:hAnsi="Times New Roman" w:cs="Times New Roman"/>
          <w:noProof/>
          <w:sz w:val="24"/>
          <w:szCs w:val="24"/>
        </w:rPr>
        <w:t>, Elsevier B.V., Vol. 18, p. 101050, doi: 10.1016/j.stress.2025.101050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D130CD">
        <w:rPr>
          <w:rFonts w:ascii="Times New Roman" w:hAnsi="Times New Roman" w:cs="Times New Roman"/>
          <w:noProof/>
          <w:sz w:val="24"/>
          <w:szCs w:val="24"/>
        </w:rPr>
        <w:t>(IF=</w:t>
      </w:r>
      <w:r>
        <w:rPr>
          <w:rFonts w:ascii="Times New Roman" w:hAnsi="Times New Roman" w:cs="Times New Roman"/>
          <w:noProof/>
          <w:sz w:val="24"/>
          <w:szCs w:val="24"/>
        </w:rPr>
        <w:t>6</w:t>
      </w:r>
      <w:r w:rsidRPr="00D130CD">
        <w:rPr>
          <w:rFonts w:ascii="Times New Roman" w:hAnsi="Times New Roman" w:cs="Times New Roman"/>
          <w:noProof/>
          <w:sz w:val="24"/>
          <w:szCs w:val="24"/>
        </w:rPr>
        <w:t>.9)</w:t>
      </w:r>
      <w:r w:rsidRPr="0000609B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037B7312" w14:textId="77777777" w:rsidR="00795A00" w:rsidRPr="0000609B" w:rsidRDefault="00795A00" w:rsidP="00795A00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line="240" w:lineRule="auto"/>
        <w:ind w:left="480" w:hanging="48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00609B">
        <w:rPr>
          <w:rFonts w:ascii="Times New Roman" w:hAnsi="Times New Roman" w:cs="Times New Roman"/>
          <w:b/>
          <w:bCs/>
          <w:noProof/>
          <w:sz w:val="24"/>
          <w:szCs w:val="24"/>
        </w:rPr>
        <w:t>Reta K</w:t>
      </w:r>
      <w:r w:rsidRPr="0000609B">
        <w:rPr>
          <w:rFonts w:ascii="Times New Roman" w:hAnsi="Times New Roman" w:cs="Times New Roman"/>
          <w:noProof/>
          <w:sz w:val="24"/>
          <w:szCs w:val="24"/>
        </w:rPr>
        <w:t xml:space="preserve">., Lazarovitch N. and Fait A. (2025). Metabolic and physiological analysis reveals distinct salinity tipping point in Vitis vinifera cv. Syrah to enter a stress response mode. </w:t>
      </w:r>
      <w:r w:rsidRPr="0000609B">
        <w:rPr>
          <w:rFonts w:ascii="Times New Roman" w:hAnsi="Times New Roman" w:cs="Times New Roman"/>
          <w:i/>
          <w:iCs/>
          <w:noProof/>
          <w:sz w:val="24"/>
          <w:szCs w:val="24"/>
        </w:rPr>
        <w:t>Plant Stress</w:t>
      </w:r>
      <w:r w:rsidRPr="0000609B">
        <w:rPr>
          <w:rFonts w:ascii="Times New Roman" w:hAnsi="Times New Roman" w:cs="Times New Roman"/>
          <w:noProof/>
          <w:sz w:val="24"/>
          <w:szCs w:val="24"/>
        </w:rPr>
        <w:t>, Elsevier B.V., Vol. 16, pp. 1–14, doi: 10.1016/j.stress.2025.100864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D130CD">
        <w:rPr>
          <w:rFonts w:ascii="Times New Roman" w:hAnsi="Times New Roman" w:cs="Times New Roman"/>
          <w:noProof/>
          <w:sz w:val="24"/>
          <w:szCs w:val="24"/>
        </w:rPr>
        <w:t>(IF=</w:t>
      </w:r>
      <w:r>
        <w:rPr>
          <w:rFonts w:ascii="Times New Roman" w:hAnsi="Times New Roman" w:cs="Times New Roman"/>
          <w:noProof/>
          <w:sz w:val="24"/>
          <w:szCs w:val="24"/>
        </w:rPr>
        <w:t>6</w:t>
      </w:r>
      <w:r w:rsidRPr="00D130CD">
        <w:rPr>
          <w:rFonts w:ascii="Times New Roman" w:hAnsi="Times New Roman" w:cs="Times New Roman"/>
          <w:noProof/>
          <w:sz w:val="24"/>
          <w:szCs w:val="24"/>
        </w:rPr>
        <w:t>.9)</w:t>
      </w:r>
      <w:r w:rsidRPr="0000609B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31FA357C" w14:textId="77777777" w:rsidR="00795A00" w:rsidRPr="0000609B" w:rsidRDefault="00795A00" w:rsidP="00795A00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line="240" w:lineRule="auto"/>
        <w:ind w:left="480" w:hanging="48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00609B">
        <w:rPr>
          <w:rFonts w:ascii="Times New Roman" w:hAnsi="Times New Roman" w:cs="Times New Roman"/>
          <w:b/>
          <w:bCs/>
          <w:noProof/>
          <w:sz w:val="24"/>
          <w:szCs w:val="24"/>
        </w:rPr>
        <w:t>Reta K</w:t>
      </w:r>
      <w:r w:rsidRPr="0000609B">
        <w:rPr>
          <w:rFonts w:ascii="Times New Roman" w:hAnsi="Times New Roman" w:cs="Times New Roman"/>
          <w:noProof/>
          <w:sz w:val="24"/>
          <w:szCs w:val="24"/>
        </w:rPr>
        <w:t xml:space="preserve">., Netzer Y., Lazarovitch N. and Fait A. (2025). Canopy management practices in warm environment vineyards to improve grape yield and quality in a changing climate. A review A vademecum to vine canopy management under the challenge of global warming. </w:t>
      </w:r>
      <w:r w:rsidRPr="0000609B">
        <w:rPr>
          <w:rFonts w:ascii="Times New Roman" w:hAnsi="Times New Roman" w:cs="Times New Roman"/>
          <w:i/>
          <w:iCs/>
          <w:noProof/>
          <w:sz w:val="24"/>
          <w:szCs w:val="24"/>
        </w:rPr>
        <w:t>Scientia Horticulturae</w:t>
      </w:r>
      <w:r w:rsidRPr="0000609B">
        <w:rPr>
          <w:rFonts w:ascii="Times New Roman" w:hAnsi="Times New Roman" w:cs="Times New Roman"/>
          <w:noProof/>
          <w:sz w:val="24"/>
          <w:szCs w:val="24"/>
        </w:rPr>
        <w:t>, Elsevier B.V., Vol. 341, p. 113998, doi: 10.1016/j.scienta.2025.113998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D130CD">
        <w:rPr>
          <w:rFonts w:ascii="Times New Roman" w:hAnsi="Times New Roman" w:cs="Times New Roman"/>
          <w:noProof/>
          <w:sz w:val="24"/>
          <w:szCs w:val="24"/>
        </w:rPr>
        <w:t>(IF=4.2)</w:t>
      </w:r>
      <w:r w:rsidRPr="0000609B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66E29582" w14:textId="77777777" w:rsidR="00795A00" w:rsidRPr="0000609B" w:rsidRDefault="00795A00" w:rsidP="00795A00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line="240" w:lineRule="auto"/>
        <w:ind w:left="480" w:hanging="48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00609B">
        <w:rPr>
          <w:rFonts w:ascii="Times New Roman" w:hAnsi="Times New Roman" w:cs="Times New Roman"/>
          <w:noProof/>
          <w:sz w:val="24"/>
          <w:szCs w:val="24"/>
          <w:lang w:val="da-DK"/>
        </w:rPr>
        <w:t xml:space="preserve">Zohar Y., </w:t>
      </w:r>
      <w:r w:rsidRPr="0000609B">
        <w:rPr>
          <w:rFonts w:ascii="Times New Roman" w:hAnsi="Times New Roman" w:cs="Times New Roman"/>
          <w:b/>
          <w:bCs/>
          <w:noProof/>
          <w:sz w:val="24"/>
          <w:szCs w:val="24"/>
          <w:lang w:val="da-DK"/>
        </w:rPr>
        <w:t>Reta K</w:t>
      </w:r>
      <w:r w:rsidRPr="0000609B">
        <w:rPr>
          <w:rFonts w:ascii="Times New Roman" w:hAnsi="Times New Roman" w:cs="Times New Roman"/>
          <w:noProof/>
          <w:sz w:val="24"/>
          <w:szCs w:val="24"/>
          <w:lang w:val="da-DK"/>
        </w:rPr>
        <w:t xml:space="preserve">., Drori E., Gliksman U., Rauchberger S., Bar E., et al. </w:t>
      </w:r>
      <w:r w:rsidRPr="0000609B">
        <w:rPr>
          <w:rFonts w:ascii="Times New Roman" w:hAnsi="Times New Roman" w:cs="Times New Roman"/>
          <w:noProof/>
          <w:sz w:val="24"/>
          <w:szCs w:val="24"/>
        </w:rPr>
        <w:t xml:space="preserve">(2024). Improved berry and wine quality of Vitis vinifera L. cv. Gewürztraminer grown in an arid climate using a Y-shaped training system. </w:t>
      </w:r>
      <w:r w:rsidRPr="0000609B">
        <w:rPr>
          <w:rFonts w:ascii="Times New Roman" w:hAnsi="Times New Roman" w:cs="Times New Roman"/>
          <w:i/>
          <w:iCs/>
          <w:noProof/>
          <w:sz w:val="24"/>
          <w:szCs w:val="24"/>
        </w:rPr>
        <w:t>OENO One</w:t>
      </w:r>
      <w:r w:rsidRPr="0000609B">
        <w:rPr>
          <w:rFonts w:ascii="Times New Roman" w:hAnsi="Times New Roman" w:cs="Times New Roman"/>
          <w:noProof/>
          <w:sz w:val="24"/>
          <w:szCs w:val="24"/>
        </w:rPr>
        <w:t>, Vol. 58 No. 1, pp. 1–15, doi: 10.20870/oeno-one.2024.58.1.7148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D130CD">
        <w:rPr>
          <w:rFonts w:ascii="Times New Roman" w:hAnsi="Times New Roman" w:cs="Times New Roman"/>
          <w:noProof/>
          <w:sz w:val="24"/>
          <w:szCs w:val="24"/>
        </w:rPr>
        <w:t>(IF=2.2)</w:t>
      </w:r>
      <w:r w:rsidRPr="0000609B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1D8E96A9" w14:textId="77777777" w:rsidR="00795A00" w:rsidRPr="0000609B" w:rsidRDefault="00795A00" w:rsidP="00795A00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line="240" w:lineRule="auto"/>
        <w:ind w:left="480" w:hanging="48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00609B">
        <w:rPr>
          <w:rFonts w:ascii="Times New Roman" w:hAnsi="Times New Roman" w:cs="Times New Roman"/>
          <w:b/>
          <w:bCs/>
          <w:noProof/>
          <w:sz w:val="24"/>
          <w:szCs w:val="24"/>
        </w:rPr>
        <w:t>Wagaw K</w:t>
      </w:r>
      <w:r w:rsidRPr="0000609B">
        <w:rPr>
          <w:rFonts w:ascii="Times New Roman" w:hAnsi="Times New Roman" w:cs="Times New Roman"/>
          <w:noProof/>
          <w:sz w:val="24"/>
          <w:szCs w:val="24"/>
        </w:rPr>
        <w:t>., Seyoum A., Tadesse T., Nega A., Gebreyohannes A., Bejiga T., et al. (2021). Distinguishing of Stable Genotypes and Mega Environment for Grain Yield Performance of Sorghum [</w:t>
      </w:r>
      <w:r w:rsidRPr="0000609B">
        <w:rPr>
          <w:rFonts w:ascii="Times New Roman" w:hAnsi="Times New Roman" w:cs="Times New Roman"/>
          <w:i/>
          <w:iCs/>
          <w:noProof/>
          <w:sz w:val="24"/>
          <w:szCs w:val="24"/>
        </w:rPr>
        <w:t>Sorghum bicolor</w:t>
      </w:r>
      <w:r w:rsidRPr="0000609B">
        <w:rPr>
          <w:rFonts w:ascii="Times New Roman" w:hAnsi="Times New Roman" w:cs="Times New Roman"/>
          <w:noProof/>
          <w:sz w:val="24"/>
          <w:szCs w:val="24"/>
        </w:rPr>
        <w:t xml:space="preserve"> (L.) Moench] Genotypes Using Spatial Analysis. </w:t>
      </w:r>
      <w:r w:rsidRPr="0000609B">
        <w:rPr>
          <w:rFonts w:ascii="Times New Roman" w:hAnsi="Times New Roman" w:cs="Times New Roman"/>
          <w:i/>
          <w:iCs/>
          <w:noProof/>
          <w:sz w:val="24"/>
          <w:szCs w:val="24"/>
        </w:rPr>
        <w:t>American Journal of Plant Sciences</w:t>
      </w:r>
      <w:r w:rsidRPr="0000609B">
        <w:rPr>
          <w:rFonts w:ascii="Times New Roman" w:hAnsi="Times New Roman" w:cs="Times New Roman"/>
          <w:noProof/>
          <w:sz w:val="24"/>
          <w:szCs w:val="24"/>
        </w:rPr>
        <w:t>, Vol. 12 No. 03, pp. 417–431, doi: 10.4236/ajps.2021.123027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(IF=1.6)</w:t>
      </w:r>
      <w:r w:rsidRPr="0000609B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0236A398" w14:textId="77777777" w:rsidR="00795A00" w:rsidRPr="0000609B" w:rsidRDefault="00795A00" w:rsidP="00795A00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line="240" w:lineRule="auto"/>
        <w:ind w:left="480" w:hanging="48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00609B">
        <w:rPr>
          <w:rFonts w:ascii="Times New Roman" w:hAnsi="Times New Roman" w:cs="Times New Roman"/>
          <w:noProof/>
          <w:sz w:val="24"/>
          <w:szCs w:val="24"/>
        </w:rPr>
        <w:t xml:space="preserve">Bekana G., Girma E., Abebe A., Sisay A., Alemayehu D., </w:t>
      </w:r>
      <w:r w:rsidRPr="0000609B">
        <w:rPr>
          <w:rFonts w:ascii="Times New Roman" w:hAnsi="Times New Roman" w:cs="Times New Roman"/>
          <w:b/>
          <w:bCs/>
          <w:noProof/>
          <w:sz w:val="24"/>
          <w:szCs w:val="24"/>
        </w:rPr>
        <w:t>Wagaw K</w:t>
      </w:r>
      <w:r w:rsidRPr="0000609B">
        <w:rPr>
          <w:rFonts w:ascii="Times New Roman" w:hAnsi="Times New Roman" w:cs="Times New Roman"/>
          <w:noProof/>
          <w:sz w:val="24"/>
          <w:szCs w:val="24"/>
        </w:rPr>
        <w:t>., et al. (2021). Evaluating the Genetic Variations Among Improved Haricot Bean Varieties (</w:t>
      </w:r>
      <w:r w:rsidRPr="00D70959">
        <w:rPr>
          <w:rFonts w:ascii="Times New Roman" w:hAnsi="Times New Roman" w:cs="Times New Roman"/>
          <w:i/>
          <w:iCs/>
          <w:noProof/>
          <w:sz w:val="24"/>
          <w:szCs w:val="24"/>
        </w:rPr>
        <w:t>Phaseolus vulgaris</w:t>
      </w:r>
      <w:r w:rsidRPr="0000609B">
        <w:rPr>
          <w:rFonts w:ascii="Times New Roman" w:hAnsi="Times New Roman" w:cs="Times New Roman"/>
          <w:noProof/>
          <w:sz w:val="24"/>
          <w:szCs w:val="24"/>
        </w:rPr>
        <w:t xml:space="preserve"> L.) Based on Their Agronomic Traits and Performing Their Half Diallel Cross. </w:t>
      </w:r>
      <w:r w:rsidRPr="0000609B">
        <w:rPr>
          <w:rFonts w:ascii="Times New Roman" w:hAnsi="Times New Roman" w:cs="Times New Roman"/>
          <w:i/>
          <w:iCs/>
          <w:noProof/>
          <w:sz w:val="24"/>
          <w:szCs w:val="24"/>
        </w:rPr>
        <w:t>American Journal of BioScience</w:t>
      </w:r>
      <w:r w:rsidRPr="0000609B">
        <w:rPr>
          <w:rFonts w:ascii="Times New Roman" w:hAnsi="Times New Roman" w:cs="Times New Roman"/>
          <w:noProof/>
          <w:sz w:val="24"/>
          <w:szCs w:val="24"/>
        </w:rPr>
        <w:t>, Vol. 9 No. 5, p. 168, doi: 10.11648/j.ajbio.20210905.13.</w:t>
      </w:r>
    </w:p>
    <w:p w14:paraId="052EBBAA" w14:textId="77777777" w:rsidR="00795A00" w:rsidRPr="0000609B" w:rsidRDefault="00795A00" w:rsidP="00795A00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line="240" w:lineRule="auto"/>
        <w:ind w:left="480" w:hanging="48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00609B">
        <w:rPr>
          <w:rFonts w:ascii="Times New Roman" w:hAnsi="Times New Roman" w:cs="Times New Roman"/>
          <w:b/>
          <w:bCs/>
          <w:noProof/>
          <w:sz w:val="24"/>
          <w:szCs w:val="24"/>
        </w:rPr>
        <w:t>Wagaw K.</w:t>
      </w:r>
      <w:r w:rsidRPr="0000609B">
        <w:rPr>
          <w:rFonts w:ascii="Times New Roman" w:hAnsi="Times New Roman" w:cs="Times New Roman"/>
          <w:noProof/>
          <w:sz w:val="24"/>
          <w:szCs w:val="24"/>
        </w:rPr>
        <w:t xml:space="preserve"> and Tadesse T. (2020). Combining Ability and Heterosis of Sorghum (</w:t>
      </w:r>
      <w:r w:rsidRPr="0000609B">
        <w:rPr>
          <w:rFonts w:ascii="Times New Roman" w:hAnsi="Times New Roman" w:cs="Times New Roman"/>
          <w:i/>
          <w:iCs/>
          <w:noProof/>
          <w:sz w:val="24"/>
          <w:szCs w:val="24"/>
        </w:rPr>
        <w:t>Sorghum bicolor</w:t>
      </w:r>
      <w:r w:rsidRPr="0000609B">
        <w:rPr>
          <w:rFonts w:ascii="Times New Roman" w:hAnsi="Times New Roman" w:cs="Times New Roman"/>
          <w:noProof/>
          <w:sz w:val="24"/>
          <w:szCs w:val="24"/>
        </w:rPr>
        <w:t xml:space="preserve"> L. Moench) Hybrids for Grain and Biomass Yield. </w:t>
      </w:r>
      <w:r w:rsidRPr="0000609B">
        <w:rPr>
          <w:rFonts w:ascii="Times New Roman" w:hAnsi="Times New Roman" w:cs="Times New Roman"/>
          <w:i/>
          <w:iCs/>
          <w:noProof/>
          <w:sz w:val="24"/>
          <w:szCs w:val="24"/>
        </w:rPr>
        <w:t>American Journal of Plant Sciences</w:t>
      </w:r>
      <w:r w:rsidRPr="0000609B">
        <w:rPr>
          <w:rFonts w:ascii="Times New Roman" w:hAnsi="Times New Roman" w:cs="Times New Roman"/>
          <w:noProof/>
          <w:sz w:val="24"/>
          <w:szCs w:val="24"/>
        </w:rPr>
        <w:t>, Scientific Research Publishing, Vol. 11 No. 12, pp. 2155–2171, doi: 10.4236/AJPS.2020.1112151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(IF=1.6)</w:t>
      </w:r>
      <w:r w:rsidRPr="0000609B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6CE21A23" w14:textId="77777777" w:rsidR="00795A00" w:rsidRPr="0000609B" w:rsidRDefault="00795A00" w:rsidP="00795A00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line="240" w:lineRule="auto"/>
        <w:ind w:left="480" w:hanging="48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00609B">
        <w:rPr>
          <w:rFonts w:ascii="Times New Roman" w:hAnsi="Times New Roman" w:cs="Times New Roman"/>
          <w:noProof/>
          <w:sz w:val="24"/>
          <w:szCs w:val="24"/>
        </w:rPr>
        <w:t xml:space="preserve">Seyoum A., Semahegn Z., Nega A., Siraw S., Gebereyhones A.,  Solomon H., Legesse T., </w:t>
      </w:r>
      <w:r w:rsidRPr="0000609B">
        <w:rPr>
          <w:rFonts w:ascii="Times New Roman" w:hAnsi="Times New Roman" w:cs="Times New Roman"/>
          <w:b/>
          <w:bCs/>
          <w:noProof/>
          <w:sz w:val="24"/>
          <w:szCs w:val="24"/>
        </w:rPr>
        <w:t>Wagaw K.</w:t>
      </w:r>
      <w:r w:rsidRPr="0000609B">
        <w:rPr>
          <w:rFonts w:ascii="Times New Roman" w:hAnsi="Times New Roman" w:cs="Times New Roman"/>
          <w:noProof/>
          <w:sz w:val="24"/>
          <w:szCs w:val="24"/>
        </w:rPr>
        <w:t xml:space="preserve">, et al. (2020). Multi-Environment Evaluation and Genotype × Environment Interaction Analysis of Sorghum [ </w:t>
      </w:r>
      <w:r w:rsidRPr="0000609B">
        <w:rPr>
          <w:rFonts w:ascii="Times New Roman" w:hAnsi="Times New Roman" w:cs="Times New Roman"/>
          <w:i/>
          <w:iCs/>
          <w:noProof/>
          <w:sz w:val="24"/>
          <w:szCs w:val="24"/>
        </w:rPr>
        <w:t>Sorghum bicolor</w:t>
      </w:r>
      <w:r w:rsidRPr="0000609B">
        <w:rPr>
          <w:rFonts w:ascii="Times New Roman" w:hAnsi="Times New Roman" w:cs="Times New Roman"/>
          <w:noProof/>
          <w:sz w:val="24"/>
          <w:szCs w:val="24"/>
        </w:rPr>
        <w:t xml:space="preserve"> ( L .) Moench ] Genotypes in Highland Areas of Ethiopia. </w:t>
      </w:r>
      <w:r w:rsidRPr="0000609B">
        <w:rPr>
          <w:rFonts w:ascii="Times New Roman" w:hAnsi="Times New Roman" w:cs="Times New Roman"/>
          <w:i/>
          <w:iCs/>
          <w:noProof/>
          <w:sz w:val="24"/>
          <w:szCs w:val="24"/>
        </w:rPr>
        <w:t>American Journal of Plant Sciences</w:t>
      </w:r>
      <w:r w:rsidRPr="0000609B">
        <w:rPr>
          <w:rFonts w:ascii="Times New Roman" w:hAnsi="Times New Roman" w:cs="Times New Roman"/>
          <w:noProof/>
          <w:sz w:val="24"/>
          <w:szCs w:val="24"/>
        </w:rPr>
        <w:t>, No. 11, pp. 1899–1917, doi: 10.4236/ajps.2020.1112136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(IF=1.6)</w:t>
      </w:r>
      <w:r w:rsidRPr="0000609B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39119617" w14:textId="77777777" w:rsidR="00795A00" w:rsidRPr="0000609B" w:rsidRDefault="00795A00" w:rsidP="00795A00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line="240" w:lineRule="auto"/>
        <w:ind w:left="480" w:hanging="48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621F07">
        <w:rPr>
          <w:rFonts w:ascii="Times New Roman" w:hAnsi="Times New Roman" w:cs="Times New Roman"/>
          <w:b/>
          <w:bCs/>
          <w:noProof/>
          <w:sz w:val="24"/>
          <w:szCs w:val="24"/>
          <w:lang w:val="da-DK"/>
        </w:rPr>
        <w:t>Wagaw K.</w:t>
      </w:r>
      <w:r w:rsidRPr="00621F07">
        <w:rPr>
          <w:rFonts w:ascii="Times New Roman" w:hAnsi="Times New Roman" w:cs="Times New Roman"/>
          <w:noProof/>
          <w:sz w:val="24"/>
          <w:szCs w:val="24"/>
          <w:lang w:val="da-DK"/>
        </w:rPr>
        <w:t xml:space="preserve">, Seyoum A., Nega A., Tadesse T., Nadew D., Nida H., et al. </w:t>
      </w:r>
      <w:r w:rsidRPr="0000609B">
        <w:rPr>
          <w:rFonts w:ascii="Times New Roman" w:hAnsi="Times New Roman" w:cs="Times New Roman"/>
          <w:noProof/>
          <w:sz w:val="24"/>
          <w:szCs w:val="24"/>
        </w:rPr>
        <w:t xml:space="preserve">(2020). Multi-environment trial and spatial analysis for yield performance of sorghum [ </w:t>
      </w:r>
      <w:r w:rsidRPr="0000609B">
        <w:rPr>
          <w:rFonts w:ascii="Times New Roman" w:hAnsi="Times New Roman" w:cs="Times New Roman"/>
          <w:i/>
          <w:iCs/>
          <w:noProof/>
          <w:sz w:val="24"/>
          <w:szCs w:val="24"/>
        </w:rPr>
        <w:t>Sorghum bicolor</w:t>
      </w:r>
      <w:r w:rsidRPr="0000609B">
        <w:rPr>
          <w:rFonts w:ascii="Times New Roman" w:hAnsi="Times New Roman" w:cs="Times New Roman"/>
          <w:noProof/>
          <w:sz w:val="24"/>
          <w:szCs w:val="24"/>
        </w:rPr>
        <w:t xml:space="preserve"> ( L .) Moench ] hybrids in dry lowland sorghum growing areas of Ethiopia. </w:t>
      </w:r>
      <w:r w:rsidRPr="0000609B">
        <w:rPr>
          <w:rFonts w:ascii="Times New Roman" w:hAnsi="Times New Roman" w:cs="Times New Roman"/>
          <w:i/>
          <w:iCs/>
          <w:noProof/>
          <w:sz w:val="24"/>
          <w:szCs w:val="24"/>
        </w:rPr>
        <w:t>Journal of Plant Breeding and Crop Science</w:t>
      </w:r>
      <w:r w:rsidRPr="0000609B">
        <w:rPr>
          <w:rFonts w:ascii="Times New Roman" w:hAnsi="Times New Roman" w:cs="Times New Roman"/>
          <w:noProof/>
          <w:sz w:val="24"/>
          <w:szCs w:val="24"/>
        </w:rPr>
        <w:t>, Vol. 12 No. 4, pp. 275–284, doi: 10.5897/JPBCS2019.0850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(IF = 0.7)</w:t>
      </w:r>
      <w:r w:rsidRPr="0000609B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72B7B968" w14:textId="77777777" w:rsidR="00795A00" w:rsidRPr="0000609B" w:rsidRDefault="00795A00" w:rsidP="00795A00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line="240" w:lineRule="auto"/>
        <w:ind w:left="480" w:hanging="48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00609B">
        <w:rPr>
          <w:rFonts w:ascii="Times New Roman" w:hAnsi="Times New Roman" w:cs="Times New Roman"/>
          <w:b/>
          <w:bCs/>
          <w:noProof/>
          <w:sz w:val="24"/>
          <w:szCs w:val="24"/>
        </w:rPr>
        <w:t>Wagaw K.</w:t>
      </w:r>
      <w:r w:rsidRPr="0000609B">
        <w:rPr>
          <w:rFonts w:ascii="Times New Roman" w:hAnsi="Times New Roman" w:cs="Times New Roman"/>
          <w:noProof/>
          <w:sz w:val="24"/>
          <w:szCs w:val="24"/>
        </w:rPr>
        <w:t xml:space="preserve">, Seyoum A., Tadesse T., Gebreyohannes A. and Tadesse D. (2020). The MET Analysis of Yield Performance of Advanced Sorghum [ </w:t>
      </w:r>
      <w:r w:rsidRPr="0000609B">
        <w:rPr>
          <w:rFonts w:ascii="Times New Roman" w:hAnsi="Times New Roman" w:cs="Times New Roman"/>
          <w:i/>
          <w:iCs/>
          <w:noProof/>
          <w:sz w:val="24"/>
          <w:szCs w:val="24"/>
        </w:rPr>
        <w:t>Sorghum bicolor</w:t>
      </w:r>
      <w:r w:rsidRPr="0000609B">
        <w:rPr>
          <w:rFonts w:ascii="Times New Roman" w:hAnsi="Times New Roman" w:cs="Times New Roman"/>
          <w:noProof/>
          <w:sz w:val="24"/>
          <w:szCs w:val="24"/>
        </w:rPr>
        <w:t xml:space="preserve"> (L.) Moench] Lines under </w:t>
      </w:r>
      <w:r w:rsidRPr="0000609B"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Moisture Stress Areas Using Spatial Analysis. </w:t>
      </w:r>
      <w:r w:rsidRPr="0000609B">
        <w:rPr>
          <w:rFonts w:ascii="Times New Roman" w:hAnsi="Times New Roman" w:cs="Times New Roman"/>
          <w:i/>
          <w:iCs/>
          <w:noProof/>
          <w:sz w:val="24"/>
          <w:szCs w:val="24"/>
        </w:rPr>
        <w:t>American Journal of Plant Sciences</w:t>
      </w:r>
      <w:r w:rsidRPr="0000609B">
        <w:rPr>
          <w:rFonts w:ascii="Times New Roman" w:hAnsi="Times New Roman" w:cs="Times New Roman"/>
          <w:noProof/>
          <w:sz w:val="24"/>
          <w:szCs w:val="24"/>
        </w:rPr>
        <w:t>, Vol. 11 No. 10, pp. 1618–1631, doi: 10.4236/ajps.2020.1110117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(IF=1.6)</w:t>
      </w:r>
      <w:r w:rsidRPr="0000609B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0D50CECF" w14:textId="77777777" w:rsidR="00795A00" w:rsidRPr="0000609B" w:rsidRDefault="00795A00" w:rsidP="00795A00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line="240" w:lineRule="auto"/>
        <w:ind w:left="480" w:hanging="480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da-DK"/>
        </w:rPr>
        <w:t>Seyoum A</w:t>
      </w:r>
      <w:r w:rsidRPr="0000609B">
        <w:rPr>
          <w:rFonts w:ascii="Times New Roman" w:hAnsi="Times New Roman" w:cs="Times New Roman"/>
          <w:noProof/>
          <w:sz w:val="24"/>
          <w:szCs w:val="24"/>
          <w:lang w:val="da-DK"/>
        </w:rPr>
        <w:t>., N</w:t>
      </w:r>
      <w:r>
        <w:rPr>
          <w:rFonts w:ascii="Times New Roman" w:hAnsi="Times New Roman" w:cs="Times New Roman"/>
          <w:noProof/>
          <w:sz w:val="24"/>
          <w:szCs w:val="24"/>
          <w:lang w:val="da-DK"/>
        </w:rPr>
        <w:t>ega A</w:t>
      </w:r>
      <w:r w:rsidRPr="0000609B">
        <w:rPr>
          <w:rFonts w:ascii="Times New Roman" w:hAnsi="Times New Roman" w:cs="Times New Roman"/>
          <w:noProof/>
          <w:sz w:val="24"/>
          <w:szCs w:val="24"/>
          <w:lang w:val="da-DK"/>
        </w:rPr>
        <w:t xml:space="preserve">., </w:t>
      </w:r>
      <w:r w:rsidRPr="0000609B">
        <w:rPr>
          <w:rFonts w:ascii="Times New Roman" w:hAnsi="Times New Roman" w:cs="Times New Roman"/>
          <w:b/>
          <w:bCs/>
          <w:noProof/>
          <w:sz w:val="24"/>
          <w:szCs w:val="24"/>
          <w:lang w:val="da-DK"/>
        </w:rPr>
        <w:t>W</w: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da-DK"/>
        </w:rPr>
        <w:t>agaw K</w:t>
      </w:r>
      <w:r w:rsidRPr="0000609B">
        <w:rPr>
          <w:rFonts w:ascii="Times New Roman" w:hAnsi="Times New Roman" w:cs="Times New Roman"/>
          <w:b/>
          <w:bCs/>
          <w:noProof/>
          <w:sz w:val="24"/>
          <w:szCs w:val="24"/>
          <w:lang w:val="da-DK"/>
        </w:rPr>
        <w:t>.</w:t>
      </w:r>
      <w:r w:rsidRPr="0000609B">
        <w:rPr>
          <w:rFonts w:ascii="Times New Roman" w:hAnsi="Times New Roman" w:cs="Times New Roman"/>
          <w:noProof/>
          <w:sz w:val="24"/>
          <w:szCs w:val="24"/>
          <w:lang w:val="da-DK"/>
        </w:rPr>
        <w:t>, T</w:t>
      </w:r>
      <w:r>
        <w:rPr>
          <w:rFonts w:ascii="Times New Roman" w:hAnsi="Times New Roman" w:cs="Times New Roman"/>
          <w:noProof/>
          <w:sz w:val="24"/>
          <w:szCs w:val="24"/>
          <w:lang w:val="da-DK"/>
        </w:rPr>
        <w:t>adesse T</w:t>
      </w:r>
      <w:r w:rsidRPr="0000609B">
        <w:rPr>
          <w:rFonts w:ascii="Times New Roman" w:hAnsi="Times New Roman" w:cs="Times New Roman"/>
          <w:noProof/>
          <w:sz w:val="24"/>
          <w:szCs w:val="24"/>
          <w:lang w:val="da-DK"/>
        </w:rPr>
        <w:t>., T</w:t>
      </w:r>
      <w:r>
        <w:rPr>
          <w:rFonts w:ascii="Times New Roman" w:hAnsi="Times New Roman" w:cs="Times New Roman"/>
          <w:noProof/>
          <w:sz w:val="24"/>
          <w:szCs w:val="24"/>
          <w:lang w:val="da-DK"/>
        </w:rPr>
        <w:t>adesse D</w:t>
      </w:r>
      <w:r w:rsidRPr="0000609B">
        <w:rPr>
          <w:rFonts w:ascii="Times New Roman" w:hAnsi="Times New Roman" w:cs="Times New Roman"/>
          <w:noProof/>
          <w:sz w:val="24"/>
          <w:szCs w:val="24"/>
          <w:lang w:val="da-DK"/>
        </w:rPr>
        <w:t>.</w:t>
      </w:r>
      <w:r>
        <w:rPr>
          <w:rFonts w:ascii="Times New Roman" w:hAnsi="Times New Roman" w:cs="Times New Roman"/>
          <w:noProof/>
          <w:sz w:val="24"/>
          <w:szCs w:val="24"/>
          <w:lang w:val="da-DK"/>
        </w:rPr>
        <w:t xml:space="preserve">, </w:t>
      </w:r>
      <w:r w:rsidRPr="0000609B">
        <w:rPr>
          <w:rFonts w:ascii="Times New Roman" w:hAnsi="Times New Roman" w:cs="Times New Roman"/>
          <w:noProof/>
          <w:sz w:val="24"/>
          <w:szCs w:val="24"/>
          <w:lang w:val="da-DK"/>
        </w:rPr>
        <w:t xml:space="preserve">et al. </w:t>
      </w:r>
      <w:r w:rsidRPr="0000609B">
        <w:rPr>
          <w:rFonts w:ascii="Times New Roman" w:hAnsi="Times New Roman" w:cs="Times New Roman"/>
          <w:noProof/>
          <w:sz w:val="24"/>
          <w:szCs w:val="24"/>
        </w:rPr>
        <w:t>(2020). Multi environment and spatial analysis of early maturing sorghum [</w:t>
      </w:r>
      <w:r w:rsidRPr="0000609B">
        <w:rPr>
          <w:rFonts w:ascii="Times New Roman" w:hAnsi="Times New Roman" w:cs="Times New Roman"/>
          <w:i/>
          <w:iCs/>
          <w:noProof/>
          <w:sz w:val="24"/>
          <w:szCs w:val="24"/>
        </w:rPr>
        <w:t>Sorghum bicolor</w:t>
      </w:r>
      <w:r w:rsidRPr="0000609B">
        <w:rPr>
          <w:rFonts w:ascii="Times New Roman" w:hAnsi="Times New Roman" w:cs="Times New Roman"/>
          <w:noProof/>
          <w:sz w:val="24"/>
          <w:szCs w:val="24"/>
        </w:rPr>
        <w:t xml:space="preserve"> (L.) Moench] genotypes in dry lowland areas of Ethiopia. </w:t>
      </w:r>
      <w:r w:rsidRPr="0000609B">
        <w:rPr>
          <w:rFonts w:ascii="Times New Roman" w:hAnsi="Times New Roman" w:cs="Times New Roman"/>
          <w:i/>
          <w:iCs/>
          <w:noProof/>
          <w:sz w:val="24"/>
          <w:szCs w:val="24"/>
        </w:rPr>
        <w:t>African Journal of Agricultural Research</w:t>
      </w:r>
      <w:r w:rsidRPr="0000609B">
        <w:rPr>
          <w:rFonts w:ascii="Times New Roman" w:hAnsi="Times New Roman" w:cs="Times New Roman"/>
          <w:noProof/>
          <w:sz w:val="24"/>
          <w:szCs w:val="24"/>
        </w:rPr>
        <w:t>, Vol. 15 No. 2, pp. 278–290, doi: 10.5897/ajar2019.14495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(IF=0.5)</w:t>
      </w:r>
      <w:r w:rsidRPr="0000609B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701A909F" w14:textId="77777777" w:rsidR="00795A00" w:rsidRPr="0000609B" w:rsidRDefault="00795A00" w:rsidP="00795A00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line="240" w:lineRule="auto"/>
        <w:ind w:left="480" w:hanging="48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00609B">
        <w:rPr>
          <w:rFonts w:ascii="Times New Roman" w:hAnsi="Times New Roman" w:cs="Times New Roman"/>
          <w:b/>
          <w:bCs/>
          <w:noProof/>
          <w:sz w:val="24"/>
          <w:szCs w:val="24"/>
        </w:rPr>
        <w:t>Wagaw K.</w:t>
      </w:r>
      <w:r w:rsidRPr="0000609B">
        <w:rPr>
          <w:rFonts w:ascii="Times New Roman" w:hAnsi="Times New Roman" w:cs="Times New Roman"/>
          <w:noProof/>
          <w:sz w:val="24"/>
          <w:szCs w:val="24"/>
        </w:rPr>
        <w:t>, Bantte K. and Tadesse T. (2020). Gene action, combining ability and heterotic performance of Ethiopian Sorghum (</w:t>
      </w:r>
      <w:r w:rsidRPr="0000609B">
        <w:rPr>
          <w:rFonts w:ascii="Times New Roman" w:hAnsi="Times New Roman" w:cs="Times New Roman"/>
          <w:i/>
          <w:iCs/>
          <w:noProof/>
          <w:sz w:val="24"/>
          <w:szCs w:val="24"/>
        </w:rPr>
        <w:t>Sorghum bicolor</w:t>
      </w:r>
      <w:r w:rsidRPr="0000609B">
        <w:rPr>
          <w:rFonts w:ascii="Times New Roman" w:hAnsi="Times New Roman" w:cs="Times New Roman"/>
          <w:noProof/>
          <w:sz w:val="24"/>
          <w:szCs w:val="24"/>
        </w:rPr>
        <w:t xml:space="preserve"> (L.) Moench) lines under moisture stress areas in Ethiopia. </w:t>
      </w:r>
      <w:r w:rsidRPr="0000609B">
        <w:rPr>
          <w:rFonts w:ascii="Times New Roman" w:hAnsi="Times New Roman" w:cs="Times New Roman"/>
          <w:i/>
          <w:iCs/>
          <w:noProof/>
          <w:sz w:val="24"/>
          <w:szCs w:val="24"/>
        </w:rPr>
        <w:t>African Journal of Plant Science Full</w:t>
      </w:r>
      <w:r w:rsidRPr="0000609B">
        <w:rPr>
          <w:rFonts w:ascii="Times New Roman" w:hAnsi="Times New Roman" w:cs="Times New Roman"/>
          <w:noProof/>
          <w:sz w:val="24"/>
          <w:szCs w:val="24"/>
        </w:rPr>
        <w:t>, Vol. 14 No. 9, pp. 372–394, doi: 10.5897/AJPS2019.1813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(IF = 0.6)</w:t>
      </w:r>
      <w:r w:rsidRPr="0000609B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462B1128" w14:textId="77777777" w:rsidR="00795A00" w:rsidRPr="0000609B" w:rsidRDefault="00795A00" w:rsidP="00795A00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line="240" w:lineRule="auto"/>
        <w:ind w:left="480" w:hanging="48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00609B">
        <w:rPr>
          <w:rFonts w:ascii="Times New Roman" w:hAnsi="Times New Roman" w:cs="Times New Roman"/>
          <w:b/>
          <w:bCs/>
          <w:noProof/>
          <w:sz w:val="24"/>
          <w:szCs w:val="24"/>
        </w:rPr>
        <w:t>Wagaw K.</w:t>
      </w:r>
      <w:r w:rsidRPr="0000609B">
        <w:rPr>
          <w:rFonts w:ascii="Times New Roman" w:hAnsi="Times New Roman" w:cs="Times New Roman"/>
          <w:noProof/>
          <w:sz w:val="24"/>
          <w:szCs w:val="24"/>
        </w:rPr>
        <w:t xml:space="preserve"> (2019). Review on Mechanisms of Drought Tolerance in Sorghum (</w:t>
      </w:r>
      <w:r w:rsidRPr="0000609B">
        <w:rPr>
          <w:rFonts w:ascii="Times New Roman" w:hAnsi="Times New Roman" w:cs="Times New Roman"/>
          <w:i/>
          <w:iCs/>
          <w:noProof/>
          <w:sz w:val="24"/>
          <w:szCs w:val="24"/>
        </w:rPr>
        <w:t>Sorghum bicolor</w:t>
      </w:r>
      <w:r w:rsidRPr="0000609B">
        <w:rPr>
          <w:rFonts w:ascii="Times New Roman" w:hAnsi="Times New Roman" w:cs="Times New Roman"/>
          <w:noProof/>
          <w:sz w:val="24"/>
          <w:szCs w:val="24"/>
        </w:rPr>
        <w:t xml:space="preserve"> (L.) Moench) Basis and Breeding Methods. </w:t>
      </w:r>
      <w:r w:rsidRPr="0000609B">
        <w:rPr>
          <w:rFonts w:ascii="Times New Roman" w:hAnsi="Times New Roman" w:cs="Times New Roman"/>
          <w:i/>
          <w:iCs/>
          <w:noProof/>
          <w:sz w:val="24"/>
          <w:szCs w:val="24"/>
        </w:rPr>
        <w:t>Acad. Res. J. Agri. Sci. Res</w:t>
      </w:r>
      <w:r w:rsidRPr="0000609B">
        <w:rPr>
          <w:rFonts w:ascii="Times New Roman" w:hAnsi="Times New Roman" w:cs="Times New Roman"/>
          <w:noProof/>
          <w:sz w:val="24"/>
          <w:szCs w:val="24"/>
        </w:rPr>
        <w:t>, Vol. 7 No. 2, pp. 87–99, doi: 10.14662/ARJASR2019.007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(IF = 8.4)</w:t>
      </w:r>
      <w:r w:rsidRPr="0000609B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7D3E0CDC" w14:textId="77777777" w:rsidR="00795A00" w:rsidRPr="0000609B" w:rsidRDefault="00795A00" w:rsidP="00795A00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line="240" w:lineRule="auto"/>
        <w:ind w:left="480" w:hanging="4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0609B">
        <w:rPr>
          <w:rFonts w:ascii="Times New Roman" w:hAnsi="Times New Roman" w:cs="Times New Roman"/>
          <w:sz w:val="24"/>
          <w:szCs w:val="24"/>
        </w:rPr>
        <w:fldChar w:fldCharType="end"/>
      </w:r>
      <w:r w:rsidRPr="0000609B">
        <w:rPr>
          <w:rFonts w:ascii="Times New Roman" w:hAnsi="Times New Roman" w:cs="Times New Roman"/>
          <w:b/>
          <w:bCs/>
          <w:sz w:val="24"/>
          <w:szCs w:val="24"/>
        </w:rPr>
        <w:t>Papers pending publication</w:t>
      </w:r>
    </w:p>
    <w:p w14:paraId="50805240" w14:textId="77777777" w:rsidR="00795A00" w:rsidRPr="00B3222E" w:rsidRDefault="00795A00" w:rsidP="00795A00">
      <w:pPr>
        <w:widowControl w:val="0"/>
        <w:autoSpaceDE w:val="0"/>
        <w:autoSpaceDN w:val="0"/>
        <w:adjustRightInd w:val="0"/>
        <w:spacing w:line="240" w:lineRule="auto"/>
        <w:ind w:left="480" w:hanging="48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B3222E">
        <w:rPr>
          <w:rFonts w:ascii="Times New Roman" w:hAnsi="Times New Roman" w:cs="Times New Roman"/>
          <w:b/>
          <w:bCs/>
          <w:noProof/>
          <w:sz w:val="24"/>
          <w:szCs w:val="24"/>
        </w:rPr>
        <w:t>Reta K.</w:t>
      </w:r>
      <w:r w:rsidRPr="00B3222E">
        <w:rPr>
          <w:rFonts w:ascii="Times New Roman" w:hAnsi="Times New Roman" w:cs="Times New Roman"/>
          <w:noProof/>
          <w:sz w:val="24"/>
          <w:szCs w:val="24"/>
        </w:rPr>
        <w:t xml:space="preserve">, Lupo Y., Sikron-Persi N., Acuna T., Lazarovitch N., Fait A.  Contrasting metabolic and physiological responses underlie rootstock-mediated tolerance to combined salinity and water-deficit stress in </w:t>
      </w:r>
      <w:r w:rsidRPr="009B3E46">
        <w:rPr>
          <w:rFonts w:ascii="Times New Roman" w:hAnsi="Times New Roman" w:cs="Times New Roman"/>
          <w:i/>
          <w:iCs/>
          <w:noProof/>
          <w:sz w:val="24"/>
          <w:szCs w:val="24"/>
        </w:rPr>
        <w:t>cv.</w:t>
      </w:r>
      <w:r w:rsidRPr="00B3222E">
        <w:rPr>
          <w:rFonts w:ascii="Times New Roman" w:hAnsi="Times New Roman" w:cs="Times New Roman"/>
          <w:noProof/>
          <w:sz w:val="24"/>
          <w:szCs w:val="24"/>
        </w:rPr>
        <w:t>Syrah</w:t>
      </w:r>
      <w:r>
        <w:rPr>
          <w:rFonts w:ascii="Times New Roman" w:hAnsi="Times New Roman" w:cs="Times New Roman"/>
          <w:noProof/>
          <w:sz w:val="24"/>
          <w:szCs w:val="24"/>
        </w:rPr>
        <w:t>.</w:t>
      </w:r>
      <w:r w:rsidRPr="00B3222E">
        <w:rPr>
          <w:rFonts w:ascii="Times New Roman" w:hAnsi="Times New Roman" w:cs="Times New Roman"/>
          <w:noProof/>
          <w:sz w:val="24"/>
          <w:szCs w:val="24"/>
        </w:rPr>
        <w:t xml:space="preserve"> (</w:t>
      </w:r>
      <w:r>
        <w:rPr>
          <w:rFonts w:ascii="Times New Roman" w:hAnsi="Times New Roman" w:cs="Times New Roman"/>
          <w:noProof/>
          <w:sz w:val="24"/>
          <w:szCs w:val="24"/>
        </w:rPr>
        <w:t>Under review</w:t>
      </w:r>
      <w:r w:rsidRPr="00B3222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t>in</w:t>
      </w:r>
      <w:r w:rsidRPr="00B3222E">
        <w:rPr>
          <w:rFonts w:ascii="Times New Roman" w:hAnsi="Times New Roman" w:cs="Times New Roman"/>
          <w:noProof/>
          <w:sz w:val="24"/>
          <w:szCs w:val="24"/>
        </w:rPr>
        <w:t xml:space="preserve"> Plant </w:t>
      </w:r>
      <w:r>
        <w:rPr>
          <w:rFonts w:ascii="Times New Roman" w:hAnsi="Times New Roman" w:cs="Times New Roman"/>
          <w:noProof/>
          <w:sz w:val="24"/>
          <w:szCs w:val="24"/>
        </w:rPr>
        <w:t>Stress</w:t>
      </w:r>
      <w:r w:rsidRPr="00B3222E">
        <w:rPr>
          <w:rFonts w:ascii="Times New Roman" w:hAnsi="Times New Roman" w:cs="Times New Roman"/>
          <w:noProof/>
          <w:sz w:val="24"/>
          <w:szCs w:val="24"/>
        </w:rPr>
        <w:t>, IF=6.9).</w:t>
      </w:r>
    </w:p>
    <w:p w14:paraId="65E04487" w14:textId="77777777" w:rsidR="00795A00" w:rsidRPr="00B3222E" w:rsidRDefault="00795A00" w:rsidP="00795A00">
      <w:pPr>
        <w:widowControl w:val="0"/>
        <w:autoSpaceDE w:val="0"/>
        <w:autoSpaceDN w:val="0"/>
        <w:adjustRightInd w:val="0"/>
        <w:spacing w:line="240" w:lineRule="auto"/>
        <w:ind w:left="480" w:hanging="48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B3222E">
        <w:rPr>
          <w:rFonts w:ascii="Times New Roman" w:hAnsi="Times New Roman" w:cs="Times New Roman"/>
          <w:b/>
          <w:bCs/>
          <w:noProof/>
          <w:sz w:val="24"/>
          <w:szCs w:val="24"/>
        </w:rPr>
        <w:t>Reta K.</w:t>
      </w:r>
      <w:r w:rsidRPr="00B3222E">
        <w:rPr>
          <w:rFonts w:ascii="Times New Roman" w:hAnsi="Times New Roman" w:cs="Times New Roman"/>
          <w:noProof/>
          <w:sz w:val="24"/>
          <w:szCs w:val="24"/>
        </w:rPr>
        <w:t>, Caras T., Sikron-Persi N., Bustan A., Lazarovitch N., Paz-Kagan T., Fait A. Integrative phenotyping, combining metabolomics, molecular biology, and remote sensing, revealed a varietal signature in response to a heatwave event in arid viticulture. (Ready for submission to Plant Phenomics, IF=6.3).</w:t>
      </w:r>
    </w:p>
    <w:p w14:paraId="67B1E2BB" w14:textId="77777777" w:rsidR="00795A00" w:rsidRPr="00B3222E" w:rsidRDefault="00795A00" w:rsidP="00795A00">
      <w:pPr>
        <w:widowControl w:val="0"/>
        <w:autoSpaceDE w:val="0"/>
        <w:autoSpaceDN w:val="0"/>
        <w:adjustRightInd w:val="0"/>
        <w:spacing w:line="240" w:lineRule="auto"/>
        <w:ind w:left="480" w:hanging="48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B3222E">
        <w:rPr>
          <w:rFonts w:ascii="Times New Roman" w:hAnsi="Times New Roman" w:cs="Times New Roman"/>
          <w:b/>
          <w:bCs/>
          <w:noProof/>
          <w:sz w:val="24"/>
          <w:szCs w:val="24"/>
        </w:rPr>
        <w:t>Reta K.,</w:t>
      </w:r>
      <w:r w:rsidRPr="00B3222E">
        <w:rPr>
          <w:rFonts w:ascii="Times New Roman" w:hAnsi="Times New Roman" w:cs="Times New Roman"/>
          <w:noProof/>
          <w:sz w:val="24"/>
          <w:szCs w:val="24"/>
        </w:rPr>
        <w:t xml:space="preserve"> Verma P., Gashu K., Bustan A., Fait A. Identification of high temperature-induced coordinated metabolic and phenological shifts in a varietal collection of wine grapes</w:t>
      </w:r>
      <w:r>
        <w:rPr>
          <w:rFonts w:ascii="Times New Roman" w:hAnsi="Times New Roman" w:cs="Times New Roman"/>
          <w:noProof/>
          <w:sz w:val="24"/>
          <w:szCs w:val="24"/>
        </w:rPr>
        <w:t>.</w:t>
      </w:r>
      <w:r w:rsidRPr="00B3222E">
        <w:rPr>
          <w:rFonts w:ascii="Times New Roman" w:hAnsi="Times New Roman" w:cs="Times New Roman"/>
          <w:noProof/>
          <w:sz w:val="24"/>
          <w:szCs w:val="24"/>
        </w:rPr>
        <w:t xml:space="preserve"> (Under preparation for submission to PCE, IF=6.3).</w:t>
      </w:r>
    </w:p>
    <w:p w14:paraId="2E540B28" w14:textId="77777777" w:rsidR="00795A00" w:rsidRDefault="00795A00" w:rsidP="00795A00">
      <w:pPr>
        <w:widowControl w:val="0"/>
        <w:autoSpaceDE w:val="0"/>
        <w:autoSpaceDN w:val="0"/>
        <w:adjustRightInd w:val="0"/>
        <w:spacing w:line="240" w:lineRule="auto"/>
        <w:ind w:left="480" w:hanging="48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B3222E">
        <w:rPr>
          <w:rFonts w:ascii="Times New Roman" w:hAnsi="Times New Roman" w:cs="Times New Roman"/>
          <w:b/>
          <w:bCs/>
          <w:noProof/>
          <w:sz w:val="24"/>
          <w:szCs w:val="24"/>
        </w:rPr>
        <w:t>Reta K.</w:t>
      </w:r>
      <w:r w:rsidRPr="00B3222E">
        <w:rPr>
          <w:rFonts w:ascii="Times New Roman" w:hAnsi="Times New Roman" w:cs="Times New Roman"/>
          <w:noProof/>
          <w:sz w:val="24"/>
          <w:szCs w:val="24"/>
        </w:rPr>
        <w:t>, Lazarovitch N.</w:t>
      </w:r>
      <w:r>
        <w:rPr>
          <w:rFonts w:ascii="Times New Roman" w:hAnsi="Times New Roman" w:cs="Times New Roman"/>
          <w:noProof/>
          <w:sz w:val="24"/>
          <w:szCs w:val="24"/>
        </w:rPr>
        <w:t>,</w:t>
      </w:r>
      <w:r w:rsidRPr="00B3222E">
        <w:rPr>
          <w:rFonts w:ascii="Times New Roman" w:hAnsi="Times New Roman" w:cs="Times New Roman"/>
          <w:noProof/>
          <w:sz w:val="24"/>
          <w:szCs w:val="24"/>
        </w:rPr>
        <w:t xml:space="preserve"> and Fait A. Comparative machine learning reveals rootstock-modulated metabolic and temporal signatures in grafted grapevine under combined salinity and water deficit stress. (Under preparation for Horticulture Research, IF=8.5).</w:t>
      </w:r>
    </w:p>
    <w:p w14:paraId="693CD499" w14:textId="77777777" w:rsidR="00795A00" w:rsidRDefault="00795A00" w:rsidP="00795A00">
      <w:pPr>
        <w:widowControl w:val="0"/>
        <w:autoSpaceDE w:val="0"/>
        <w:autoSpaceDN w:val="0"/>
        <w:adjustRightInd w:val="0"/>
        <w:spacing w:line="240" w:lineRule="auto"/>
        <w:ind w:left="480" w:hanging="48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8504EA">
        <w:rPr>
          <w:rFonts w:ascii="Times New Roman" w:hAnsi="Times New Roman" w:cs="Times New Roman"/>
          <w:noProof/>
          <w:sz w:val="24"/>
          <w:szCs w:val="24"/>
        </w:rPr>
        <w:t>Degu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A.</w:t>
      </w:r>
      <w:r w:rsidRPr="008504EA">
        <w:rPr>
          <w:rFonts w:ascii="Times New Roman" w:hAnsi="Times New Roman" w:cs="Times New Roman"/>
          <w:noProof/>
          <w:sz w:val="24"/>
          <w:szCs w:val="24"/>
        </w:rPr>
        <w:t>, Faigenboim</w:t>
      </w:r>
      <w:r w:rsidRPr="00326997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t>A.</w:t>
      </w:r>
      <w:r w:rsidRPr="008504EA">
        <w:rPr>
          <w:rFonts w:ascii="Times New Roman" w:hAnsi="Times New Roman" w:cs="Times New Roman"/>
          <w:noProof/>
          <w:sz w:val="24"/>
          <w:szCs w:val="24"/>
        </w:rPr>
        <w:t xml:space="preserve">, </w:t>
      </w:r>
      <w:r w:rsidRPr="008504EA">
        <w:rPr>
          <w:rFonts w:ascii="Times New Roman" w:hAnsi="Times New Roman" w:cs="Times New Roman"/>
          <w:b/>
          <w:bCs/>
          <w:noProof/>
          <w:sz w:val="24"/>
          <w:szCs w:val="24"/>
        </w:rPr>
        <w:t>Reta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K.</w:t>
      </w:r>
      <w:r w:rsidRPr="008504EA">
        <w:rPr>
          <w:rFonts w:ascii="Times New Roman" w:hAnsi="Times New Roman" w:cs="Times New Roman"/>
          <w:noProof/>
          <w:sz w:val="24"/>
          <w:szCs w:val="24"/>
        </w:rPr>
        <w:t>, Dynkin</w:t>
      </w:r>
      <w:r w:rsidRPr="00326997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t>I.</w:t>
      </w:r>
      <w:r w:rsidRPr="008504EA">
        <w:rPr>
          <w:rFonts w:ascii="Times New Roman" w:hAnsi="Times New Roman" w:cs="Times New Roman"/>
          <w:noProof/>
          <w:sz w:val="24"/>
          <w:szCs w:val="24"/>
        </w:rPr>
        <w:t>, Fait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A.</w:t>
      </w:r>
      <w:r w:rsidRPr="008504EA">
        <w:rPr>
          <w:rFonts w:ascii="Times New Roman" w:hAnsi="Times New Roman" w:cs="Times New Roman"/>
          <w:noProof/>
          <w:sz w:val="24"/>
          <w:szCs w:val="24"/>
        </w:rPr>
        <w:t xml:space="preserve">, and </w:t>
      </w:r>
      <w:r>
        <w:rPr>
          <w:rFonts w:ascii="Times New Roman" w:hAnsi="Times New Roman" w:cs="Times New Roman"/>
          <w:noProof/>
          <w:sz w:val="24"/>
          <w:szCs w:val="24"/>
        </w:rPr>
        <w:t xml:space="preserve">Reshef N. </w:t>
      </w:r>
      <w:r w:rsidRPr="008504EA">
        <w:rPr>
          <w:rFonts w:ascii="Times New Roman" w:hAnsi="Times New Roman" w:cs="Times New Roman"/>
          <w:noProof/>
          <w:sz w:val="24"/>
          <w:szCs w:val="24"/>
        </w:rPr>
        <w:t>Functional Characterization of Grapevine PEPC and Cytosolic MDH Genes Reveals Divergent Regulation of Malate and Sugar Metabolism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(Under review in Horticulture Research, IF =8.5)</w:t>
      </w:r>
    </w:p>
    <w:p w14:paraId="5DB4CDF8" w14:textId="77777777" w:rsidR="00795A00" w:rsidRPr="00B3222E" w:rsidRDefault="00795A00" w:rsidP="00795A00">
      <w:pPr>
        <w:widowControl w:val="0"/>
        <w:autoSpaceDE w:val="0"/>
        <w:autoSpaceDN w:val="0"/>
        <w:adjustRightInd w:val="0"/>
        <w:spacing w:line="240" w:lineRule="auto"/>
        <w:ind w:left="480" w:hanging="48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6D41A0">
        <w:rPr>
          <w:rFonts w:ascii="Times New Roman" w:hAnsi="Times New Roman" w:cs="Times New Roman"/>
          <w:noProof/>
          <w:sz w:val="24"/>
          <w:szCs w:val="24"/>
        </w:rPr>
        <w:t xml:space="preserve">Javali </w:t>
      </w:r>
      <w:r>
        <w:rPr>
          <w:rFonts w:ascii="Times New Roman" w:hAnsi="Times New Roman" w:cs="Times New Roman"/>
          <w:noProof/>
          <w:sz w:val="24"/>
          <w:szCs w:val="24"/>
        </w:rPr>
        <w:t>A.</w:t>
      </w:r>
      <w:r w:rsidRPr="006D41A0">
        <w:rPr>
          <w:rFonts w:ascii="Times New Roman" w:hAnsi="Times New Roman" w:cs="Times New Roman"/>
          <w:noProof/>
          <w:sz w:val="24"/>
          <w:szCs w:val="24"/>
        </w:rPr>
        <w:t xml:space="preserve">, </w:t>
      </w:r>
      <w:r w:rsidRPr="006D41A0">
        <w:rPr>
          <w:rFonts w:ascii="Times New Roman" w:hAnsi="Times New Roman" w:cs="Times New Roman"/>
          <w:b/>
          <w:bCs/>
          <w:noProof/>
          <w:sz w:val="24"/>
          <w:szCs w:val="24"/>
        </w:rPr>
        <w:t>Reta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K.</w:t>
      </w:r>
      <w:r w:rsidRPr="006D41A0">
        <w:rPr>
          <w:rFonts w:ascii="Times New Roman" w:hAnsi="Times New Roman" w:cs="Times New Roman"/>
          <w:noProof/>
          <w:sz w:val="24"/>
          <w:szCs w:val="24"/>
        </w:rPr>
        <w:t xml:space="preserve">, Herzberg </w:t>
      </w:r>
      <w:r>
        <w:rPr>
          <w:rFonts w:ascii="Times New Roman" w:hAnsi="Times New Roman" w:cs="Times New Roman"/>
          <w:noProof/>
          <w:sz w:val="24"/>
          <w:szCs w:val="24"/>
        </w:rPr>
        <w:t>M.</w:t>
      </w:r>
      <w:r w:rsidRPr="006D41A0">
        <w:rPr>
          <w:rFonts w:ascii="Times New Roman" w:hAnsi="Times New Roman" w:cs="Times New Roman"/>
          <w:noProof/>
          <w:sz w:val="24"/>
          <w:szCs w:val="24"/>
        </w:rPr>
        <w:t>, and Fait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A. </w:t>
      </w:r>
      <w:r w:rsidRPr="006D41A0">
        <w:rPr>
          <w:rFonts w:ascii="Times New Roman" w:hAnsi="Times New Roman" w:cs="Times New Roman"/>
          <w:noProof/>
          <w:sz w:val="24"/>
          <w:szCs w:val="24"/>
        </w:rPr>
        <w:t>Engineered multi-ionic irrigation reveals cultivar-specific coordination of root architecture, ion partitioning, and metabolism in grapevine</w:t>
      </w:r>
      <w:r>
        <w:rPr>
          <w:rFonts w:ascii="Times New Roman" w:hAnsi="Times New Roman" w:cs="Times New Roman"/>
          <w:noProof/>
          <w:sz w:val="24"/>
          <w:szCs w:val="24"/>
        </w:rPr>
        <w:t>. (In preparation)</w:t>
      </w:r>
    </w:p>
    <w:p w14:paraId="7C4E7B81" w14:textId="77777777" w:rsidR="00795A00" w:rsidRPr="0000609B" w:rsidRDefault="00795A00" w:rsidP="00795A00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0609B">
        <w:rPr>
          <w:rFonts w:ascii="Times New Roman" w:hAnsi="Times New Roman" w:cs="Times New Roman"/>
          <w:b/>
          <w:bCs/>
          <w:sz w:val="24"/>
          <w:szCs w:val="24"/>
        </w:rPr>
        <w:t>Research and working manuals</w:t>
      </w:r>
    </w:p>
    <w:p w14:paraId="69E510F3" w14:textId="77777777" w:rsidR="00795A00" w:rsidRPr="0000609B" w:rsidRDefault="00795A00" w:rsidP="00795A00">
      <w:pPr>
        <w:widowControl w:val="0"/>
        <w:autoSpaceDE w:val="0"/>
        <w:autoSpaceDN w:val="0"/>
        <w:adjustRightInd w:val="0"/>
        <w:spacing w:line="240" w:lineRule="auto"/>
        <w:ind w:left="480" w:hanging="480"/>
        <w:jc w:val="both"/>
        <w:rPr>
          <w:rFonts w:ascii="Times New Roman" w:hAnsi="Times New Roman" w:cs="Times New Roman"/>
          <w:sz w:val="24"/>
          <w:szCs w:val="24"/>
        </w:rPr>
      </w:pPr>
      <w:r w:rsidRPr="00621F07">
        <w:rPr>
          <w:rFonts w:ascii="Times New Roman" w:hAnsi="Times New Roman" w:cs="Times New Roman"/>
          <w:noProof/>
          <w:sz w:val="24"/>
          <w:szCs w:val="24"/>
        </w:rPr>
        <w:t>Seyoum</w:t>
      </w:r>
      <w:r w:rsidRPr="0000609B">
        <w:rPr>
          <w:rFonts w:ascii="Times New Roman" w:hAnsi="Times New Roman" w:cs="Times New Roman"/>
          <w:sz w:val="24"/>
          <w:szCs w:val="24"/>
        </w:rPr>
        <w:t xml:space="preserve"> A., Nega A., Tadesse T., Zerihun M., </w:t>
      </w:r>
      <w:r w:rsidRPr="005F14A4">
        <w:rPr>
          <w:rFonts w:ascii="Times New Roman" w:hAnsi="Times New Roman" w:cs="Times New Roman"/>
          <w:b/>
          <w:bCs/>
          <w:sz w:val="24"/>
          <w:szCs w:val="24"/>
        </w:rPr>
        <w:t>Wagaw K</w:t>
      </w:r>
      <w:r w:rsidRPr="0000609B">
        <w:rPr>
          <w:rFonts w:ascii="Times New Roman" w:hAnsi="Times New Roman" w:cs="Times New Roman"/>
          <w:sz w:val="24"/>
          <w:szCs w:val="24"/>
        </w:rPr>
        <w:t xml:space="preserve">., </w:t>
      </w:r>
      <w:proofErr w:type="spellStart"/>
      <w:r w:rsidRPr="0000609B">
        <w:rPr>
          <w:rFonts w:ascii="Times New Roman" w:hAnsi="Times New Roman" w:cs="Times New Roman"/>
          <w:sz w:val="24"/>
          <w:szCs w:val="24"/>
        </w:rPr>
        <w:t>Gebreyohannes</w:t>
      </w:r>
      <w:proofErr w:type="spellEnd"/>
      <w:r w:rsidRPr="0000609B">
        <w:rPr>
          <w:rFonts w:ascii="Times New Roman" w:hAnsi="Times New Roman" w:cs="Times New Roman"/>
          <w:sz w:val="24"/>
          <w:szCs w:val="24"/>
        </w:rPr>
        <w:t xml:space="preserve"> A., et al.</w:t>
      </w:r>
      <w:r>
        <w:rPr>
          <w:rFonts w:ascii="Times New Roman" w:hAnsi="Times New Roman" w:cs="Times New Roman"/>
          <w:sz w:val="24"/>
          <w:szCs w:val="24"/>
        </w:rPr>
        <w:t>, 2019</w:t>
      </w:r>
      <w:r w:rsidRPr="0000609B">
        <w:rPr>
          <w:rFonts w:ascii="Times New Roman" w:hAnsi="Times New Roman" w:cs="Times New Roman"/>
          <w:sz w:val="24"/>
          <w:szCs w:val="24"/>
        </w:rPr>
        <w:t xml:space="preserve"> Sorghum Breeding Manual. Ethiopian Institute of Agricultural Research, ISBN 978999466658</w:t>
      </w:r>
    </w:p>
    <w:p w14:paraId="13C83BAE" w14:textId="77777777" w:rsidR="00795A00" w:rsidRPr="0000609B" w:rsidRDefault="00795A00" w:rsidP="00795A00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0609B">
        <w:rPr>
          <w:rFonts w:ascii="Times New Roman" w:hAnsi="Times New Roman" w:cs="Times New Roman"/>
          <w:b/>
          <w:bCs/>
          <w:sz w:val="24"/>
          <w:szCs w:val="24"/>
        </w:rPr>
        <w:t>Books and chapters</w:t>
      </w:r>
    </w:p>
    <w:p w14:paraId="03A6504A" w14:textId="77777777" w:rsidR="00795A00" w:rsidRDefault="00795A00" w:rsidP="00795A00">
      <w:pPr>
        <w:widowControl w:val="0"/>
        <w:autoSpaceDE w:val="0"/>
        <w:autoSpaceDN w:val="0"/>
        <w:adjustRightInd w:val="0"/>
        <w:spacing w:line="240" w:lineRule="auto"/>
        <w:ind w:left="480" w:hanging="480"/>
        <w:jc w:val="both"/>
        <w:rPr>
          <w:rFonts w:ascii="Times New Roman" w:hAnsi="Times New Roman" w:cs="Times New Roman"/>
          <w:sz w:val="24"/>
          <w:szCs w:val="24"/>
        </w:rPr>
      </w:pPr>
      <w:r w:rsidRPr="00586F47">
        <w:rPr>
          <w:rFonts w:ascii="Times New Roman" w:hAnsi="Times New Roman" w:cs="Times New Roman"/>
          <w:b/>
          <w:bCs/>
          <w:sz w:val="24"/>
          <w:szCs w:val="24"/>
        </w:rPr>
        <w:lastRenderedPageBreak/>
        <w:t>Wagaw K.</w:t>
      </w:r>
      <w:r w:rsidRPr="000060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609B">
        <w:rPr>
          <w:rFonts w:ascii="Times New Roman" w:hAnsi="Times New Roman" w:cs="Times New Roman"/>
          <w:sz w:val="24"/>
          <w:szCs w:val="24"/>
        </w:rPr>
        <w:t>Bantte</w:t>
      </w:r>
      <w:proofErr w:type="spellEnd"/>
      <w:r w:rsidRPr="0000609B">
        <w:rPr>
          <w:rFonts w:ascii="Times New Roman" w:hAnsi="Times New Roman" w:cs="Times New Roman"/>
          <w:sz w:val="24"/>
          <w:szCs w:val="24"/>
        </w:rPr>
        <w:t xml:space="preserve"> K., Tadesse T. (2020). Heterotic Performance and Combining Ability in Sorghum. LAMBERT Academic Publishing, ISBN 9786203025965.</w:t>
      </w:r>
    </w:p>
    <w:p w14:paraId="1E62E4B3" w14:textId="77777777" w:rsidR="00795A00" w:rsidRPr="000F7A53" w:rsidRDefault="00795A00" w:rsidP="00795A00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Research p</w:t>
      </w:r>
      <w:r w:rsidRPr="000F7A53">
        <w:rPr>
          <w:rFonts w:ascii="Times New Roman" w:hAnsi="Times New Roman" w:cs="Times New Roman"/>
          <w:b/>
          <w:bCs/>
          <w:sz w:val="24"/>
          <w:szCs w:val="24"/>
        </w:rPr>
        <w:t>roceedings</w:t>
      </w:r>
    </w:p>
    <w:p w14:paraId="52EC7B3F" w14:textId="77777777" w:rsidR="00795A00" w:rsidRPr="000F7A53" w:rsidRDefault="00795A00" w:rsidP="00795A00">
      <w:pPr>
        <w:widowControl w:val="0"/>
        <w:autoSpaceDE w:val="0"/>
        <w:autoSpaceDN w:val="0"/>
        <w:adjustRightInd w:val="0"/>
        <w:spacing w:line="240" w:lineRule="auto"/>
        <w:ind w:left="480" w:hanging="480"/>
        <w:jc w:val="both"/>
        <w:rPr>
          <w:rFonts w:ascii="Times New Roman" w:hAnsi="Times New Roman" w:cs="Times New Roman"/>
          <w:sz w:val="24"/>
          <w:szCs w:val="24"/>
        </w:rPr>
      </w:pPr>
      <w:r w:rsidRPr="00621F07">
        <w:rPr>
          <w:rFonts w:ascii="Times New Roman" w:hAnsi="Times New Roman" w:cs="Times New Roman"/>
          <w:noProof/>
          <w:sz w:val="24"/>
          <w:szCs w:val="24"/>
        </w:rPr>
        <w:t>Taye</w:t>
      </w:r>
      <w:r w:rsidRPr="000F7A5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T.</w:t>
      </w:r>
      <w:r w:rsidRPr="000F7A53">
        <w:rPr>
          <w:rFonts w:ascii="Times New Roman" w:hAnsi="Times New Roman" w:cs="Times New Roman"/>
          <w:sz w:val="24"/>
          <w:szCs w:val="24"/>
        </w:rPr>
        <w:t xml:space="preserve">, Seyoum </w:t>
      </w:r>
      <w:r>
        <w:rPr>
          <w:rFonts w:ascii="Times New Roman" w:hAnsi="Times New Roman" w:cs="Times New Roman"/>
          <w:sz w:val="24"/>
          <w:szCs w:val="24"/>
        </w:rPr>
        <w:t>A.</w:t>
      </w:r>
      <w:r w:rsidRPr="000F7A53">
        <w:rPr>
          <w:rFonts w:ascii="Times New Roman" w:hAnsi="Times New Roman" w:cs="Times New Roman"/>
          <w:sz w:val="24"/>
          <w:szCs w:val="24"/>
        </w:rPr>
        <w:t xml:space="preserve">, Nega </w:t>
      </w:r>
      <w:r>
        <w:rPr>
          <w:rFonts w:ascii="Times New Roman" w:hAnsi="Times New Roman" w:cs="Times New Roman"/>
          <w:sz w:val="24"/>
          <w:szCs w:val="24"/>
        </w:rPr>
        <w:t>A.</w:t>
      </w:r>
      <w:r w:rsidRPr="000F7A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7A53">
        <w:rPr>
          <w:rFonts w:ascii="Times New Roman" w:hAnsi="Times New Roman" w:cs="Times New Roman"/>
          <w:sz w:val="24"/>
          <w:szCs w:val="24"/>
        </w:rPr>
        <w:t>Gebreyohannes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A.</w:t>
      </w:r>
      <w:r w:rsidRPr="000F7A53">
        <w:rPr>
          <w:rFonts w:ascii="Times New Roman" w:hAnsi="Times New Roman" w:cs="Times New Roman"/>
          <w:sz w:val="24"/>
          <w:szCs w:val="24"/>
        </w:rPr>
        <w:t xml:space="preserve">, Kebede </w:t>
      </w:r>
      <w:r>
        <w:rPr>
          <w:rFonts w:ascii="Times New Roman" w:hAnsi="Times New Roman" w:cs="Times New Roman"/>
          <w:sz w:val="24"/>
          <w:szCs w:val="24"/>
        </w:rPr>
        <w:t>Y.</w:t>
      </w:r>
      <w:r w:rsidRPr="000F7A53">
        <w:rPr>
          <w:rFonts w:ascii="Times New Roman" w:hAnsi="Times New Roman" w:cs="Times New Roman"/>
          <w:sz w:val="24"/>
          <w:szCs w:val="24"/>
        </w:rPr>
        <w:t xml:space="preserve">, </w:t>
      </w:r>
      <w:r w:rsidRPr="000F7A53">
        <w:rPr>
          <w:rFonts w:ascii="Times New Roman" w:hAnsi="Times New Roman" w:cs="Times New Roman"/>
          <w:b/>
          <w:bCs/>
          <w:sz w:val="24"/>
          <w:szCs w:val="24"/>
        </w:rPr>
        <w:t>Wagaw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K.</w:t>
      </w:r>
      <w:r w:rsidRPr="000F7A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7A53">
        <w:rPr>
          <w:rFonts w:ascii="Times New Roman" w:hAnsi="Times New Roman" w:cs="Times New Roman"/>
          <w:sz w:val="24"/>
          <w:szCs w:val="24"/>
        </w:rPr>
        <w:t>Bejiga</w:t>
      </w:r>
      <w:proofErr w:type="spellEnd"/>
      <w:r w:rsidRPr="000F7A5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T.</w:t>
      </w:r>
      <w:r w:rsidRPr="000F7A53">
        <w:rPr>
          <w:rFonts w:ascii="Times New Roman" w:hAnsi="Times New Roman" w:cs="Times New Roman"/>
          <w:sz w:val="24"/>
          <w:szCs w:val="24"/>
        </w:rPr>
        <w:t xml:space="preserve">, et al. 2019. “Major Achievements, Challenges, and Prospects of Sorghum and Millet Research and Development.” In Proceedings of the 50th Anniversary of </w:t>
      </w:r>
      <w:proofErr w:type="spellStart"/>
      <w:r w:rsidRPr="000F7A53">
        <w:rPr>
          <w:rFonts w:ascii="Times New Roman" w:hAnsi="Times New Roman" w:cs="Times New Roman"/>
          <w:sz w:val="24"/>
          <w:szCs w:val="24"/>
        </w:rPr>
        <w:t>Melkassa</w:t>
      </w:r>
      <w:proofErr w:type="spellEnd"/>
      <w:r w:rsidRPr="000F7A53">
        <w:rPr>
          <w:rFonts w:ascii="Times New Roman" w:hAnsi="Times New Roman" w:cs="Times New Roman"/>
          <w:sz w:val="24"/>
          <w:szCs w:val="24"/>
        </w:rPr>
        <w:t xml:space="preserve"> Agricultural Research Center: edited by </w:t>
      </w:r>
      <w:proofErr w:type="spellStart"/>
      <w:r w:rsidRPr="000F7A53">
        <w:rPr>
          <w:rFonts w:ascii="Times New Roman" w:hAnsi="Times New Roman" w:cs="Times New Roman"/>
          <w:sz w:val="24"/>
          <w:szCs w:val="24"/>
        </w:rPr>
        <w:t>Gashawbeza</w:t>
      </w:r>
      <w:proofErr w:type="spellEnd"/>
      <w:r w:rsidRPr="000F7A53">
        <w:rPr>
          <w:rFonts w:ascii="Times New Roman" w:hAnsi="Times New Roman" w:cs="Times New Roman"/>
          <w:sz w:val="24"/>
          <w:szCs w:val="24"/>
        </w:rPr>
        <w:t xml:space="preserve"> Ayalew, 101–124. Ethiopian Institute of Agricultural Research.</w:t>
      </w:r>
    </w:p>
    <w:p w14:paraId="55410005" w14:textId="77777777" w:rsidR="00795A00" w:rsidRPr="0000609B" w:rsidRDefault="00795A00" w:rsidP="00795A00">
      <w:pPr>
        <w:widowControl w:val="0"/>
        <w:autoSpaceDE w:val="0"/>
        <w:autoSpaceDN w:val="0"/>
        <w:adjustRightInd w:val="0"/>
        <w:spacing w:line="240" w:lineRule="auto"/>
        <w:ind w:left="480" w:hanging="480"/>
        <w:jc w:val="both"/>
        <w:rPr>
          <w:rFonts w:ascii="Times New Roman" w:hAnsi="Times New Roman" w:cs="Times New Roman"/>
          <w:sz w:val="24"/>
          <w:szCs w:val="24"/>
        </w:rPr>
      </w:pPr>
      <w:r w:rsidRPr="00621F07">
        <w:rPr>
          <w:rFonts w:ascii="Times New Roman" w:hAnsi="Times New Roman" w:cs="Times New Roman"/>
          <w:noProof/>
          <w:sz w:val="24"/>
          <w:szCs w:val="24"/>
        </w:rPr>
        <w:t>Tadese</w:t>
      </w:r>
      <w:r w:rsidRPr="00715C0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D.</w:t>
      </w:r>
      <w:r w:rsidRPr="000F7A53">
        <w:rPr>
          <w:rFonts w:ascii="Times New Roman" w:hAnsi="Times New Roman" w:cs="Times New Roman"/>
          <w:sz w:val="24"/>
          <w:szCs w:val="24"/>
        </w:rPr>
        <w:t>, Seyoum</w:t>
      </w:r>
      <w:r>
        <w:rPr>
          <w:rFonts w:ascii="Times New Roman" w:hAnsi="Times New Roman" w:cs="Times New Roman"/>
          <w:sz w:val="24"/>
          <w:szCs w:val="24"/>
        </w:rPr>
        <w:t xml:space="preserve"> A.</w:t>
      </w:r>
      <w:r w:rsidRPr="000F7A53">
        <w:rPr>
          <w:rFonts w:ascii="Times New Roman" w:hAnsi="Times New Roman" w:cs="Times New Roman"/>
          <w:sz w:val="24"/>
          <w:szCs w:val="24"/>
        </w:rPr>
        <w:t>, Tadesse</w:t>
      </w:r>
      <w:r>
        <w:rPr>
          <w:rFonts w:ascii="Times New Roman" w:hAnsi="Times New Roman" w:cs="Times New Roman"/>
          <w:sz w:val="24"/>
          <w:szCs w:val="24"/>
        </w:rPr>
        <w:t xml:space="preserve"> T.</w:t>
      </w:r>
      <w:r w:rsidRPr="000F7A53">
        <w:rPr>
          <w:rFonts w:ascii="Times New Roman" w:hAnsi="Times New Roman" w:cs="Times New Roman"/>
          <w:sz w:val="24"/>
          <w:szCs w:val="24"/>
        </w:rPr>
        <w:t>, Fikadu</w:t>
      </w:r>
      <w:r>
        <w:rPr>
          <w:rFonts w:ascii="Times New Roman" w:hAnsi="Times New Roman" w:cs="Times New Roman"/>
          <w:sz w:val="24"/>
          <w:szCs w:val="24"/>
        </w:rPr>
        <w:t xml:space="preserve"> Y.</w:t>
      </w:r>
      <w:r w:rsidRPr="000F7A53">
        <w:rPr>
          <w:rFonts w:ascii="Times New Roman" w:hAnsi="Times New Roman" w:cs="Times New Roman"/>
          <w:sz w:val="24"/>
          <w:szCs w:val="24"/>
        </w:rPr>
        <w:t>, Nega</w:t>
      </w:r>
      <w:r>
        <w:rPr>
          <w:rFonts w:ascii="Times New Roman" w:hAnsi="Times New Roman" w:cs="Times New Roman"/>
          <w:sz w:val="24"/>
          <w:szCs w:val="24"/>
        </w:rPr>
        <w:t xml:space="preserve"> A.</w:t>
      </w:r>
      <w:r w:rsidRPr="000F7A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7A53">
        <w:rPr>
          <w:rFonts w:ascii="Times New Roman" w:hAnsi="Times New Roman" w:cs="Times New Roman"/>
          <w:sz w:val="24"/>
          <w:szCs w:val="24"/>
        </w:rPr>
        <w:t>Gebreyohannes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A.</w:t>
      </w:r>
      <w:r w:rsidRPr="000F7A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7A53">
        <w:rPr>
          <w:rFonts w:ascii="Times New Roman" w:hAnsi="Times New Roman" w:cs="Times New Roman"/>
          <w:sz w:val="24"/>
          <w:szCs w:val="24"/>
        </w:rPr>
        <w:t>Tirfessa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A.</w:t>
      </w:r>
      <w:r w:rsidRPr="000F7A53">
        <w:rPr>
          <w:rFonts w:ascii="Times New Roman" w:hAnsi="Times New Roman" w:cs="Times New Roman"/>
          <w:sz w:val="24"/>
          <w:szCs w:val="24"/>
        </w:rPr>
        <w:t xml:space="preserve">, </w:t>
      </w:r>
      <w:r w:rsidRPr="00715C05">
        <w:rPr>
          <w:rFonts w:ascii="Times New Roman" w:hAnsi="Times New Roman" w:cs="Times New Roman"/>
          <w:b/>
          <w:bCs/>
          <w:sz w:val="24"/>
          <w:szCs w:val="24"/>
        </w:rPr>
        <w:t>Wagaw K.</w:t>
      </w:r>
      <w:r w:rsidRPr="000F7A53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et al., </w:t>
      </w:r>
      <w:r w:rsidRPr="000F7A53">
        <w:rPr>
          <w:rFonts w:ascii="Times New Roman" w:hAnsi="Times New Roman" w:cs="Times New Roman"/>
          <w:sz w:val="24"/>
          <w:szCs w:val="24"/>
        </w:rPr>
        <w:t xml:space="preserve">2021. “Proceedings of the National Conference on Crop Improvement and Management Research.” Pp. 207–20 in Crop Improvement, edited by B. L. and F. T. Tadesse </w:t>
      </w:r>
      <w:r>
        <w:rPr>
          <w:rFonts w:ascii="Times New Roman" w:hAnsi="Times New Roman" w:cs="Times New Roman"/>
          <w:sz w:val="24"/>
          <w:szCs w:val="24"/>
        </w:rPr>
        <w:t>T.,</w:t>
      </w:r>
      <w:r w:rsidRPr="000F7A53">
        <w:rPr>
          <w:rFonts w:ascii="Times New Roman" w:hAnsi="Times New Roman" w:cs="Times New Roman"/>
          <w:sz w:val="24"/>
          <w:szCs w:val="24"/>
        </w:rPr>
        <w:t xml:space="preserve"> Addis Ababa, Ethiopia: Ethiopian Institute of Agricultural Research.</w:t>
      </w:r>
    </w:p>
    <w:p w14:paraId="2180710B" w14:textId="77777777" w:rsidR="00F17DF0" w:rsidRDefault="00F17DF0"/>
    <w:sectPr w:rsidR="00F17D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A3CAC"/>
    <w:multiLevelType w:val="multilevel"/>
    <w:tmpl w:val="A0D2295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872812878">
    <w:abstractNumId w:val="0"/>
  </w:num>
  <w:num w:numId="2" w16cid:durableId="566305562">
    <w:abstractNumId w:val="0"/>
  </w:num>
  <w:num w:numId="3" w16cid:durableId="959605778">
    <w:abstractNumId w:val="0"/>
  </w:num>
  <w:num w:numId="4" w16cid:durableId="503783657">
    <w:abstractNumId w:val="0"/>
  </w:num>
  <w:num w:numId="5" w16cid:durableId="2076927360">
    <w:abstractNumId w:val="0"/>
  </w:num>
  <w:num w:numId="6" w16cid:durableId="1343706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A00"/>
    <w:rsid w:val="0013356E"/>
    <w:rsid w:val="001771A4"/>
    <w:rsid w:val="003200C7"/>
    <w:rsid w:val="003770A0"/>
    <w:rsid w:val="003843A6"/>
    <w:rsid w:val="00512CDC"/>
    <w:rsid w:val="0053799A"/>
    <w:rsid w:val="005A36D0"/>
    <w:rsid w:val="006A70AB"/>
    <w:rsid w:val="006E3DCE"/>
    <w:rsid w:val="00795A00"/>
    <w:rsid w:val="00937054"/>
    <w:rsid w:val="00C3079A"/>
    <w:rsid w:val="00F00AF6"/>
    <w:rsid w:val="00F17DF0"/>
    <w:rsid w:val="00F8326F"/>
    <w:rsid w:val="00FC0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A99EB1"/>
  <w15:chartTrackingRefBased/>
  <w15:docId w15:val="{772AB046-374D-6C43-8580-19FECCFF8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A00"/>
    <w:pPr>
      <w:spacing w:after="160" w:line="259" w:lineRule="auto"/>
    </w:pPr>
    <w:rPr>
      <w:color w:val="000000" w:themeColor="text1"/>
      <w:kern w:val="0"/>
      <w:sz w:val="22"/>
      <w:szCs w:val="22"/>
      <w:lang w:val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00AF6"/>
    <w:pPr>
      <w:keepNext/>
      <w:keepLines/>
      <w:numPr>
        <w:numId w:val="4"/>
      </w:numPr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b/>
      <w:color w:val="auto"/>
      <w:kern w:val="2"/>
      <w:sz w:val="32"/>
      <w:szCs w:val="32"/>
      <w:lang w:val="en-IL" w:bidi="he-I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00AF6"/>
    <w:pPr>
      <w:keepNext/>
      <w:keepLines/>
      <w:numPr>
        <w:ilvl w:val="1"/>
        <w:numId w:val="6"/>
      </w:numPr>
      <w:spacing w:before="40" w:after="0" w:line="240" w:lineRule="auto"/>
      <w:jc w:val="both"/>
      <w:outlineLvl w:val="1"/>
    </w:pPr>
    <w:rPr>
      <w:rFonts w:asciiTheme="majorBidi" w:eastAsiaTheme="majorEastAsia" w:hAnsiTheme="majorBidi" w:cstheme="majorBidi"/>
      <w:b/>
      <w:bCs/>
      <w:color w:val="auto"/>
      <w:kern w:val="2"/>
      <w:sz w:val="26"/>
      <w:szCs w:val="26"/>
      <w:lang w:val="en-IL" w:bidi="he-IL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F00AF6"/>
    <w:pPr>
      <w:keepNext/>
      <w:keepLines/>
      <w:numPr>
        <w:ilvl w:val="2"/>
        <w:numId w:val="6"/>
      </w:numPr>
      <w:spacing w:before="120" w:after="120" w:line="240" w:lineRule="auto"/>
      <w:jc w:val="both"/>
      <w:outlineLvl w:val="2"/>
    </w:pPr>
    <w:rPr>
      <w:rFonts w:asciiTheme="majorBidi" w:eastAsiaTheme="majorEastAsia" w:hAnsiTheme="majorBidi" w:cstheme="majorBidi"/>
      <w:color w:val="auto"/>
      <w:kern w:val="2"/>
      <w:sz w:val="24"/>
      <w:szCs w:val="24"/>
      <w:lang w:val="en-IL" w:bidi="he-I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A00"/>
    <w:pPr>
      <w:keepNext/>
      <w:keepLines/>
      <w:spacing w:before="80" w:after="40" w:line="240" w:lineRule="auto"/>
      <w:jc w:val="both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L" w:bidi="he-I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A00"/>
    <w:pPr>
      <w:keepNext/>
      <w:keepLines/>
      <w:spacing w:before="80" w:after="40" w:line="240" w:lineRule="auto"/>
      <w:jc w:val="both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L" w:bidi="he-I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A00"/>
    <w:pPr>
      <w:keepNext/>
      <w:keepLines/>
      <w:spacing w:before="40" w:after="0" w:line="240" w:lineRule="auto"/>
      <w:jc w:val="both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L" w:bidi="he-I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A00"/>
    <w:pPr>
      <w:keepNext/>
      <w:keepLines/>
      <w:spacing w:before="40" w:after="0" w:line="240" w:lineRule="auto"/>
      <w:jc w:val="both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L" w:bidi="he-I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A00"/>
    <w:pPr>
      <w:keepNext/>
      <w:keepLines/>
      <w:spacing w:after="0" w:line="240" w:lineRule="auto"/>
      <w:jc w:val="both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L" w:bidi="he-I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A00"/>
    <w:pPr>
      <w:keepNext/>
      <w:keepLines/>
      <w:spacing w:after="0" w:line="240" w:lineRule="auto"/>
      <w:jc w:val="both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L"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AF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00AF6"/>
    <w:rPr>
      <w:rFonts w:asciiTheme="majorBidi" w:eastAsiaTheme="majorEastAsia" w:hAnsiTheme="majorBid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AF6"/>
    <w:rPr>
      <w:rFonts w:asciiTheme="majorBidi" w:eastAsiaTheme="majorEastAsia" w:hAnsiTheme="majorBidi" w:cstheme="majorBidi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843A6"/>
    <w:pPr>
      <w:spacing w:before="240" w:after="120" w:line="240" w:lineRule="auto"/>
    </w:pPr>
    <w:rPr>
      <w:rFonts w:asciiTheme="majorBidi" w:hAnsiTheme="majorBidi" w:cs="Times New Roman"/>
      <w:bCs/>
      <w:iCs/>
      <w:color w:val="auto"/>
      <w:kern w:val="2"/>
      <w:sz w:val="24"/>
      <w:szCs w:val="24"/>
      <w:lang w:val="en-IL" w:bidi="he-IL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3356E"/>
    <w:pPr>
      <w:spacing w:after="0" w:line="240" w:lineRule="auto"/>
      <w:ind w:left="480"/>
    </w:pPr>
    <w:rPr>
      <w:rFonts w:asciiTheme="majorBidi" w:hAnsiTheme="majorBidi" w:cs="Times New Roman"/>
      <w:color w:val="auto"/>
      <w:kern w:val="2"/>
      <w:sz w:val="24"/>
      <w:szCs w:val="20"/>
      <w:lang w:val="en-IL" w:bidi="he-IL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3356E"/>
    <w:pPr>
      <w:spacing w:before="120" w:after="0" w:line="240" w:lineRule="auto"/>
      <w:ind w:left="240"/>
    </w:pPr>
    <w:rPr>
      <w:rFonts w:ascii="Times New Roman" w:hAnsi="Times New Roman" w:cs="Times New Roman"/>
      <w:bCs/>
      <w:color w:val="auto"/>
      <w:kern w:val="2"/>
      <w:sz w:val="24"/>
      <w:lang w:val="en-IL"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A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A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A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A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A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A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A00"/>
    <w:pPr>
      <w:spacing w:after="80" w:line="240" w:lineRule="auto"/>
      <w:contextualSpacing/>
      <w:jc w:val="both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IL" w:bidi="he-IL"/>
    </w:rPr>
  </w:style>
  <w:style w:type="character" w:customStyle="1" w:styleId="TitleChar">
    <w:name w:val="Title Char"/>
    <w:basedOn w:val="DefaultParagraphFont"/>
    <w:link w:val="Title"/>
    <w:uiPriority w:val="10"/>
    <w:rsid w:val="00795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A00"/>
    <w:pPr>
      <w:numPr>
        <w:ilvl w:val="1"/>
      </w:numPr>
      <w:spacing w:line="240" w:lineRule="auto"/>
      <w:jc w:val="both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L" w:bidi="he-IL"/>
    </w:rPr>
  </w:style>
  <w:style w:type="character" w:customStyle="1" w:styleId="SubtitleChar">
    <w:name w:val="Subtitle Char"/>
    <w:basedOn w:val="DefaultParagraphFont"/>
    <w:link w:val="Subtitle"/>
    <w:uiPriority w:val="11"/>
    <w:rsid w:val="00795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A00"/>
    <w:pPr>
      <w:spacing w:before="160" w:line="240" w:lineRule="auto"/>
      <w:jc w:val="center"/>
    </w:pPr>
    <w:rPr>
      <w:rFonts w:asciiTheme="majorBidi" w:hAnsiTheme="majorBidi"/>
      <w:i/>
      <w:iCs/>
      <w:color w:val="404040" w:themeColor="text1" w:themeTint="BF"/>
      <w:kern w:val="2"/>
      <w:sz w:val="24"/>
      <w:szCs w:val="24"/>
      <w:lang w:val="en-IL" w:bidi="he-IL"/>
    </w:rPr>
  </w:style>
  <w:style w:type="character" w:customStyle="1" w:styleId="QuoteChar">
    <w:name w:val="Quote Char"/>
    <w:basedOn w:val="DefaultParagraphFont"/>
    <w:link w:val="Quote"/>
    <w:uiPriority w:val="29"/>
    <w:rsid w:val="00795A00"/>
    <w:rPr>
      <w:rFonts w:asciiTheme="majorBidi" w:hAnsiTheme="majorBid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A00"/>
    <w:pPr>
      <w:spacing w:after="0" w:line="240" w:lineRule="auto"/>
      <w:ind w:left="720"/>
      <w:contextualSpacing/>
      <w:jc w:val="both"/>
    </w:pPr>
    <w:rPr>
      <w:rFonts w:asciiTheme="majorBidi" w:hAnsiTheme="majorBidi"/>
      <w:color w:val="auto"/>
      <w:kern w:val="2"/>
      <w:sz w:val="24"/>
      <w:szCs w:val="24"/>
      <w:lang w:val="en-IL" w:bidi="he-IL"/>
    </w:rPr>
  </w:style>
  <w:style w:type="character" w:styleId="IntenseEmphasis">
    <w:name w:val="Intense Emphasis"/>
    <w:basedOn w:val="DefaultParagraphFont"/>
    <w:uiPriority w:val="21"/>
    <w:qFormat/>
    <w:rsid w:val="00795A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A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ajorBidi" w:hAnsiTheme="majorBidi"/>
      <w:i/>
      <w:iCs/>
      <w:color w:val="0F4761" w:themeColor="accent1" w:themeShade="BF"/>
      <w:kern w:val="2"/>
      <w:sz w:val="24"/>
      <w:szCs w:val="24"/>
      <w:lang w:val="en-IL" w:bidi="he-I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A00"/>
    <w:rPr>
      <w:rFonts w:asciiTheme="majorBidi" w:hAnsiTheme="majorBid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A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1014</Words>
  <Characters>5785</Characters>
  <Application>Microsoft Office Word</Application>
  <DocSecurity>0</DocSecurity>
  <Lines>48</Lines>
  <Paragraphs>13</Paragraphs>
  <ScaleCrop>false</ScaleCrop>
  <Company/>
  <LinksUpToDate>false</LinksUpToDate>
  <CharactersWithSpaces>6786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מיכאל קינג'רמן</dc:creator>
  <cp:keywords/>
  <dc:description/>
  <cp:lastModifiedBy>מיכאל קינג'רמן</cp:lastModifiedBy>
  <cp:revision>1</cp:revision>
  <dcterms:created xsi:type="dcterms:W3CDTF">2026-05-17T20:53:00Z</dcterms:created>
  <dcterms:modified xsi:type="dcterms:W3CDTF">2026-05-17T20:53:00Z</dcterms:modified>
</cp:coreProperties>
</file>