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240" w:lineRule="auto"/>
        <w:ind w:left="720" w:firstLine="720"/>
        <w:rPr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14850" cy="857250"/>
            <wp:effectExtent b="0" l="0" r="0" t="0"/>
            <wp:docPr descr="A picture containing textDescription automatically generated" id="2" name="image1.jpg"/>
            <a:graphic>
              <a:graphicData uri="http://schemas.openxmlformats.org/drawingml/2006/picture">
                <pic:pic>
                  <pic:nvPicPr>
                    <pic:cNvPr descr="A picture containing text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v4yfuopiqdhn" w:id="0"/>
      <w:bookmarkEnd w:id="0"/>
      <w:r w:rsidDel="00000000" w:rsidR="00000000" w:rsidRPr="00000000">
        <w:rPr>
          <w:b w:val="1"/>
          <w:sz w:val="38"/>
          <w:szCs w:val="3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1295400</wp:posOffset>
            </wp:positionH>
            <wp:positionV relativeFrom="page">
              <wp:posOffset>1400763</wp:posOffset>
            </wp:positionV>
            <wp:extent cx="4507230" cy="4485640"/>
            <wp:effectExtent b="0" l="0" r="0" t="0"/>
            <wp:wrapNone/>
            <wp:docPr descr="DiagramDescription automatically generated" id="1" name="image2.jpg"/>
            <a:graphic>
              <a:graphicData uri="http://schemas.openxmlformats.org/drawingml/2006/picture">
                <pic:pic>
                  <pic:nvPicPr>
                    <pic:cNvPr descr="Diagram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4485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8"/>
          <w:szCs w:val="38"/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w4cnjyyvc0h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nmpszr2t1yi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v1dyqtp7r97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xuvd1ppst07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qkgro3bbmcz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Data Storage, Collaboration, and HPC Resources at reNEW, UCPH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qqgtgcfy7mzs" w:id="6"/>
      <w:bookmarkEnd w:id="6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Biomedical research at </w:t>
      </w:r>
      <w:r w:rsidDel="00000000" w:rsidR="00000000" w:rsidRPr="00000000">
        <w:rPr>
          <w:b w:val="1"/>
          <w:rtl w:val="0"/>
        </w:rPr>
        <w:t xml:space="preserve">reNEW – The Novo Nordisk Foundation Center for Stem Cell Medicine, UCPH,</w:t>
      </w:r>
      <w:r w:rsidDel="00000000" w:rsidR="00000000" w:rsidRPr="00000000">
        <w:rPr>
          <w:rtl w:val="0"/>
        </w:rPr>
        <w:t xml:space="preserve"> is data-intensive, often involving large imaging datasets, sensitive patient information, and complex analyses. Effective </w:t>
      </w:r>
      <w:r w:rsidDel="00000000" w:rsidR="00000000" w:rsidRPr="00000000">
        <w:rPr>
          <w:b w:val="1"/>
          <w:rtl w:val="0"/>
        </w:rPr>
        <w:t xml:space="preserve">Research Data Management (RDM)</w:t>
      </w:r>
      <w:r w:rsidDel="00000000" w:rsidR="00000000" w:rsidRPr="00000000">
        <w:rPr>
          <w:rtl w:val="0"/>
        </w:rPr>
        <w:t xml:space="preserve"> ensures data security, meets legal and ethical obligations (including GDPR compliance), and supports high-quality, reproducible science.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critical component of RDM is </w:t>
      </w:r>
      <w:r w:rsidDel="00000000" w:rsidR="00000000" w:rsidRPr="00000000">
        <w:rPr>
          <w:b w:val="1"/>
          <w:rtl w:val="0"/>
        </w:rPr>
        <w:t xml:space="preserve">data storage management</w:t>
      </w:r>
      <w:r w:rsidDel="00000000" w:rsidR="00000000" w:rsidRPr="00000000">
        <w:rPr>
          <w:rtl w:val="0"/>
        </w:rPr>
        <w:t xml:space="preserve"> throughout the </w:t>
      </w:r>
      <w:r w:rsidDel="00000000" w:rsidR="00000000" w:rsidRPr="00000000">
        <w:rPr>
          <w:b w:val="1"/>
          <w:rtl w:val="0"/>
        </w:rPr>
        <w:t xml:space="preserve">Research Data Lifecycle</w:t>
      </w:r>
      <w:r w:rsidDel="00000000" w:rsidR="00000000" w:rsidRPr="00000000">
        <w:rPr>
          <w:rtl w:val="0"/>
        </w:rPr>
        <w:t xml:space="preserve">. Each stage—from planning to archiving—requires careful consideration of storage infrastructure, data privacy, security protocols, and collaboration needs, especially in projects that involve personal data or multi-institutional teams.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guide provides an overview of best practices and the University of Copenhagen (UCPH) facilities supporting data storage, sharing, and high-performance computing (HPC) tailored to the needs of biomedical researchers at reNEW.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v35heo2vts1y" w:id="7"/>
      <w:bookmarkEnd w:id="7"/>
      <w:r w:rsidDel="00000000" w:rsidR="00000000" w:rsidRPr="00000000">
        <w:rPr>
          <w:b w:val="1"/>
          <w:rtl w:val="0"/>
        </w:rPr>
        <w:t xml:space="preserve">The Research Data Lifecycle and Storage Management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reNEW, researchers must ensure that </w:t>
      </w:r>
      <w:r w:rsidDel="00000000" w:rsidR="00000000" w:rsidRPr="00000000">
        <w:rPr>
          <w:b w:val="1"/>
          <w:rtl w:val="0"/>
        </w:rPr>
        <w:t xml:space="preserve">storage planning and security measures</w:t>
      </w:r>
      <w:r w:rsidDel="00000000" w:rsidR="00000000" w:rsidRPr="00000000">
        <w:rPr>
          <w:rtl w:val="0"/>
        </w:rPr>
        <w:t xml:space="preserve"> are integrated at every stage of the data lifecycle: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dn7d22emj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Plan &amp; Design Stage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Data Storage Plan</w:t>
      </w:r>
      <w:r w:rsidDel="00000000" w:rsidR="00000000" w:rsidRPr="00000000">
        <w:rPr>
          <w:rtl w:val="0"/>
        </w:rPr>
        <w:t xml:space="preserve"> outlining: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Storage options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strategies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controls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classification and risk assessment (mandatory before data collection)</w:t>
        <w:br w:type="textWrapping"/>
        <w:t xml:space="preserve"> This ensures that legal, ethical, and security requirements are addressed immediately.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i7fqrloev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Collect &amp; Create Stage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you acquire or generate data (e.g., imaging, genomic, patient-derived data), consider: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 data transfer and ingestion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Protection of sensitive information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control and documentation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</w:t>
      </w:r>
      <w:r w:rsidDel="00000000" w:rsidR="00000000" w:rsidRPr="00000000">
        <w:rPr>
          <w:b w:val="1"/>
          <w:rtl w:val="0"/>
        </w:rPr>
        <w:t xml:space="preserve">UCPH Information Security Policy</w:t>
      </w:r>
      <w:r w:rsidDel="00000000" w:rsidR="00000000" w:rsidRPr="00000000">
        <w:rPr>
          <w:rtl w:val="0"/>
        </w:rPr>
        <w:t xml:space="preserve"> and GDPR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01rndic8a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Analyze &amp; Process Stage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analysis can require: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Updated storage and backup strategies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High-performance or specialized storage for large-scale analyses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controls to prevent unauthorized access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Traceable workflows for reproducibility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32w187gpk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Evaluate &amp; Archive Stage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project completion: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suitable repositories (e.g., Zenodo, Dataverse) for sharing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long-term preservation to ensure access and transparency.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confidentiality and ethical sharing of sensitive dat.a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chxavlc5zirb" w:id="12"/>
      <w:bookmarkEnd w:id="12"/>
      <w:r w:rsidDel="00000000" w:rsidR="00000000" w:rsidRPr="00000000">
        <w:rPr>
          <w:b w:val="1"/>
          <w:rtl w:val="0"/>
        </w:rPr>
        <w:t xml:space="preserve">Information Security and GDPR Compliance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Handling </w:t>
      </w:r>
      <w:r w:rsidDel="00000000" w:rsidR="00000000" w:rsidRPr="00000000">
        <w:rPr>
          <w:b w:val="1"/>
          <w:rtl w:val="0"/>
        </w:rPr>
        <w:t xml:space="preserve">personal or sensitive data</w:t>
      </w:r>
      <w:r w:rsidDel="00000000" w:rsidR="00000000" w:rsidRPr="00000000">
        <w:rPr>
          <w:rtl w:val="0"/>
        </w:rPr>
        <w:t xml:space="preserve"> is common in biomedical research. Researchers at reNEW must: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Comply with the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General Data Protection Regulation (GDPR)</w:t>
        </w:r>
      </w:hyperlink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Adhere to UCPH’s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Information Security Policy for Researchers</w:t>
        </w:r>
      </w:hyperlink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appropriate access controls, encryption, and secure transmission protocols.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 classification</w:t>
        </w:r>
      </w:hyperlink>
      <w:r w:rsidDel="00000000" w:rsidR="00000000" w:rsidRPr="00000000">
        <w:rPr>
          <w:b w:val="1"/>
          <w:rtl w:val="0"/>
        </w:rPr>
        <w:t xml:space="preserve"> and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risk assessments</w:t>
        </w:r>
      </w:hyperlink>
      <w:r w:rsidDel="00000000" w:rsidR="00000000" w:rsidRPr="00000000">
        <w:rPr>
          <w:rtl w:val="0"/>
        </w:rPr>
        <w:t xml:space="preserve"> before data collection.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only approved UCPH infrastructure for sensitive data.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s3ej9g3vy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ljg3abcaty3" w:id="14"/>
      <w:bookmarkEnd w:id="14"/>
      <w:r w:rsidDel="00000000" w:rsidR="00000000" w:rsidRPr="00000000">
        <w:rPr>
          <w:b w:val="1"/>
          <w:rtl w:val="0"/>
        </w:rPr>
        <w:t xml:space="preserve">UCPH Data Storage and Collaboration Solutions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summary of UCPH facilities suited to various data types and collaboration needs: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66yciottu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 Drive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individual use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Windows</w:t>
        </w:r>
      </w:hyperlink>
      <w:r w:rsidDel="00000000" w:rsidR="00000000" w:rsidRPr="00000000">
        <w:rPr>
          <w:rtl w:val="0"/>
        </w:rPr>
        <w:t xml:space="preserve">/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Linux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Suitable for small amounts of non-sensitive research data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designed for sharing with collaborators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z794mg1ji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Shared Network Drive - </w:t>
      </w:r>
      <w:hyperlink r:id="rId1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Windows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</w:t>
      </w:r>
      <w:hyperlink r:id="rId1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collaboration among UCPH employees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research groups needing shared access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suitable for storing sensitive or personal data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saddrfee6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S-Drive (</w:t>
      </w:r>
      <w:hyperlink r:id="rId1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Shared Drive for Sensitive Data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for sharing sensitive data among designated UCPH users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Complies with GDPR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Suitable for storing and sharing confidential or personal data internally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y49423ku7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Microsoft </w:t>
      </w:r>
      <w:hyperlink r:id="rId1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OneDrive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for Business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Cloud storage meeting UCPH security standards for </w:t>
      </w:r>
      <w:r w:rsidDel="00000000" w:rsidR="00000000" w:rsidRPr="00000000">
        <w:rPr>
          <w:b w:val="1"/>
          <w:rtl w:val="0"/>
        </w:rPr>
        <w:t xml:space="preserve">non-sensitive data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 to 5TB for sharing with colleagues and external partners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Covered by a data processing agreement with Microsoft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Recommended cloud solution (note: Dropbox and other providers do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have such agreements with UCPH)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iawi2y2sdj" w:id="19"/>
      <w:bookmarkEnd w:id="19"/>
      <w:hyperlink r:id="rId1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ERDA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(Electronic Research Data Archive)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by the HPC Center, Faculty of Science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Centralized storage, archiving, and synchronization service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non-sensitive research data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xbemagixh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Sensitive Information Facility (</w:t>
      </w:r>
      <w:hyperlink r:id="rId2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SIF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storing and sharing </w:t>
      </w:r>
      <w:r w:rsidDel="00000000" w:rsidR="00000000" w:rsidRPr="00000000">
        <w:rPr>
          <w:b w:val="1"/>
          <w:rtl w:val="0"/>
        </w:rPr>
        <w:t xml:space="preserve">sensitive information</w:t>
      </w:r>
      <w:r w:rsidDel="00000000" w:rsidR="00000000" w:rsidRPr="00000000">
        <w:rPr>
          <w:rtl w:val="0"/>
        </w:rPr>
        <w:t xml:space="preserve">, including personal data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secure sharing with UCPH and external partners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GDPR compliance and pre-approval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Currently provided by the SCIENCE HPC Center; expansion to all UCPH researchers under consideration.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x8w887rs0p" w:id="21"/>
      <w:bookmarkEnd w:id="21"/>
      <w:hyperlink r:id="rId2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DATA DOI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Service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on ERDA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to all UCPH employees for data sharing.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Facilitates assigning DOIs to datasets for findable, citable research outputs</w:t>
        <w:br w:type="textWrapping"/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slyufadkgf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UCPH Policy for Research Data Management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Section 2.5.3 of the 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UCPH Policy for Research Data Management</w:t>
        </w:r>
      </w:hyperlink>
      <w:r w:rsidDel="00000000" w:rsidR="00000000" w:rsidRPr="00000000">
        <w:rPr>
          <w:rtl w:val="0"/>
        </w:rPr>
        <w:t xml:space="preserve"> emphasizes: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Choosing an appropriate, secure infrastructure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Supporting collaboration while ensuring compliance with information security policies and legal requirements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Protecting personal data in line with GDPR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Researchers at </w:t>
      </w:r>
      <w:r w:rsidDel="00000000" w:rsidR="00000000" w:rsidRPr="00000000">
        <w:rPr>
          <w:b w:val="1"/>
          <w:rtl w:val="0"/>
        </w:rPr>
        <w:t xml:space="preserve">reNEW</w:t>
      </w:r>
      <w:r w:rsidDel="00000000" w:rsidR="00000000" w:rsidRPr="00000000">
        <w:rPr>
          <w:rtl w:val="0"/>
        </w:rPr>
        <w:t xml:space="preserve"> must carefully select solutions that meet their data sensitivity and collaboration needs while upholding UCPH policies.</w:t>
      </w:r>
    </w:p>
    <w:p w:rsidR="00000000" w:rsidDel="00000000" w:rsidP="00000000" w:rsidRDefault="00000000" w:rsidRPr="00000000" w14:paraId="00000061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uiafl883to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High-Performance Computing (HPC) for Biomedical Research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Biomedical research at reNEW often involves large-scale imaging analyses, computational modeling, and multi-omics integration that require </w:t>
      </w:r>
      <w:r w:rsidDel="00000000" w:rsidR="00000000" w:rsidRPr="00000000">
        <w:rPr>
          <w:b w:val="1"/>
          <w:rtl w:val="0"/>
        </w:rPr>
        <w:t xml:space="preserve">HPC resources</w:t>
      </w:r>
      <w:r w:rsidDel="00000000" w:rsidR="00000000" w:rsidRPr="00000000">
        <w:rPr>
          <w:rtl w:val="0"/>
        </w:rPr>
        <w:t xml:space="preserve">. UCPH offers access to both local and national HPC systems tailored to diverse research needs: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qr7s78v0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National HPC Systems Available to UCPH Researchers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fjyq9m5x6k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 1 – Interactive HPC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interactivity and easy user access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</w:t>
      </w:r>
      <w:r w:rsidDel="00000000" w:rsidR="00000000" w:rsidRPr="00000000">
        <w:rPr>
          <w:b w:val="1"/>
          <w:rtl w:val="0"/>
        </w:rPr>
        <w:t xml:space="preserve">YouGene Cluster</w:t>
      </w:r>
      <w:r w:rsidDel="00000000" w:rsidR="00000000" w:rsidRPr="00000000">
        <w:rPr>
          <w:rtl w:val="0"/>
        </w:rPr>
        <w:t xml:space="preserve"> hosted at UCPH (via UCloud)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iterative data exploration and analysis</w:t>
        <w:br w:type="textWrapping"/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i90kqi4vcp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 2 – Throughput HPC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Optimized for high-volume data processing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Systems include </w:t>
      </w:r>
      <w:r w:rsidDel="00000000" w:rsidR="00000000" w:rsidRPr="00000000">
        <w:rPr>
          <w:b w:val="1"/>
          <w:rtl w:val="0"/>
        </w:rPr>
        <w:t xml:space="preserve">Computerome 2.0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GenomeDK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Sophia.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Suitable for large-scale, batch analyses</w:t>
        <w:br w:type="textWrapping"/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fg2ouge5ts6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 3 – Large Memory HPC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for workloads needing large, globally addressable memory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Hosted at UCPH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complex, memory-intensive biomedical simulations</w:t>
        <w:br w:type="textWrapping"/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rpbnorf2u7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 5 – LUMI Capability HPC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Pan-European pre-exascale system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Located in Finland (EuroHPC initiative)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Suitable for cutting-edge, large-scale computational needs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2i2s6xpb7x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 Note: DanGPU HPC at reNEW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Owned by DanStem/reNEW, SUND, and KU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Specialized GPU server for </w:t>
      </w:r>
      <w:r w:rsidDel="00000000" w:rsidR="00000000" w:rsidRPr="00000000">
        <w:rPr>
          <w:b w:val="1"/>
          <w:rtl w:val="0"/>
        </w:rPr>
        <w:t xml:space="preserve">image data analysis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Connects large datasets stored on KU-IT storage for advanced computation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ds8ul9700p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Access and Support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UCloud</w:t>
      </w:r>
      <w:r w:rsidDel="00000000" w:rsidR="00000000" w:rsidRPr="00000000">
        <w:rPr>
          <w:rtl w:val="0"/>
        </w:rPr>
        <w:t xml:space="preserve"> provides a user-friendly interface for accessing many of these HPC resources, with guidance and application processes streamlined for researchers.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is available via UCPH IT and the Faculty of Science HPC Center.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if.ku.dk/" TargetMode="External"/><Relationship Id="rId11" Type="http://schemas.openxmlformats.org/officeDocument/2006/relationships/hyperlink" Target="https://kunet.ku.dk/work-areas/research/data/information-security-for-researchers/Pages/default.aspx#collapseMSOZoneCell_WebPartWPQ6" TargetMode="External"/><Relationship Id="rId22" Type="http://schemas.openxmlformats.org/officeDocument/2006/relationships/hyperlink" Target="https://kunet.ku.dk/work-areas/research/data/Documents/UCPHPolicyforResearchDataManagement2022-EN.pdf" TargetMode="External"/><Relationship Id="rId10" Type="http://schemas.openxmlformats.org/officeDocument/2006/relationships/hyperlink" Target="https://informationssikkerhed.ku.dk/english/is-policy/" TargetMode="External"/><Relationship Id="rId21" Type="http://schemas.openxmlformats.org/officeDocument/2006/relationships/hyperlink" Target="https://kunet.ku.dk/work-areas/research/data/data-sharing/data-doi" TargetMode="External"/><Relationship Id="rId13" Type="http://schemas.openxmlformats.org/officeDocument/2006/relationships/hyperlink" Target="https://kunet.ku.dk/work-areas/research/data/facilities-for-data-storage-and-sharing-in-active-projects/Pages/default.aspx#collapseMSOZoneCell_WebPartWPQ8" TargetMode="External"/><Relationship Id="rId12" Type="http://schemas.openxmlformats.org/officeDocument/2006/relationships/hyperlink" Target="https://kunet.ku.dk/work-areas/research/data/personal-data/impact-assessment/Pages/default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formationssikkerhed.ku.dk/english/is-policy/" TargetMode="External"/><Relationship Id="rId15" Type="http://schemas.openxmlformats.org/officeDocument/2006/relationships/hyperlink" Target="https://kunet.ku.dk/employee-guide/Pages/IT/Network-drives.aspx?searchHitHighlight=network%20drives" TargetMode="External"/><Relationship Id="rId14" Type="http://schemas.openxmlformats.org/officeDocument/2006/relationships/hyperlink" Target="https://kunet.ku.dk/work-areas/research/data/facilities-for-data-storage-and-sharing-in-active-projects/Pages/default.aspx#collapseMSOZoneCell_WebPartWPQ14" TargetMode="External"/><Relationship Id="rId17" Type="http://schemas.openxmlformats.org/officeDocument/2006/relationships/hyperlink" Target="https://kunet.ku.dk/employee-guide/Pages/IT/S-drive.aspx" TargetMode="External"/><Relationship Id="rId16" Type="http://schemas.openxmlformats.org/officeDocument/2006/relationships/hyperlink" Target="https://kunet.ku.dk/work-areas/research/data/facilities-for-data-storage-and-sharing-in-active-projects/Pages/default.aspx#collapseMSOZoneCell_WebPartWPQ14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rda.dk/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kunet.ku.dk/work-areas/research/data/facilities-for-data-storage-and-sharing-in-active-projects/Pages/default.aspx#collapseMSOZoneCell_WebPartWPQ7" TargetMode="External"/><Relationship Id="rId7" Type="http://schemas.openxmlformats.org/officeDocument/2006/relationships/image" Target="media/image2.jpg"/><Relationship Id="rId8" Type="http://schemas.openxmlformats.org/officeDocument/2006/relationships/hyperlink" Target="https://kunet.ku.dk/work-areas/research/data/personal-data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