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future-work"/>
      <w:bookmarkEnd w:id="21"/>
      <w:r>
        <w:t xml:space="preserve">Future work</w:t>
      </w:r>
    </w:p>
    <w:p>
      <w:pPr>
        <w:pStyle w:val="FirstParagraph"/>
      </w:pPr>
      <w:r>
        <w:t xml:space="preserve">Future integration can consist in the adding of the negotiation between peers, to allow IdP restriction and security level to a conversation. This feature is described in</w:t>
      </w:r>
      <w:r>
        <w:t xml:space="preserve"> </w:t>
      </w:r>
      <w:hyperlink r:id="rId22">
        <w:r>
          <w:rPr>
            <w:rStyle w:val="Hyperlink"/>
          </w:rPr>
          <w:t xml:space="preserve">Corre et al. paper</w:t>
        </w:r>
      </w:hyperlink>
      <w:r>
        <w:t xml:space="preserve"> </w:t>
      </w:r>
      <w:r>
        <w:t xml:space="preserve">and is implemented for demonstration purpose, but not integrated in the core runtime.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c066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ink.springer.com/chapter/10.1007%2F978-3-319-60131-1_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ink.springer.com/chapter/10.1007%2F978-3-319-60131-1_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2017-07-11T11:32:32Z</dcterms:created>
  <dcterms:modified xsi:type="dcterms:W3CDTF">2017-07-11T11:32:32Z</dcterms:modified>
</cp:coreProperties>
</file>