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4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68"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68" w:type="dxa"/>
            </w:tcMar>
          </w:tcPr>
          <w:p>
            <w:pPr>
              <w:pStyle w:val="Normal"/>
              <w:spacing w:before="120" w:after="120"/>
              <w:jc w:val="left"/>
              <w:rPr/>
            </w:pPr>
            <w:r>
              <w:rPr/>
              <w:fldChar w:fldCharType="begin"/>
            </w:r>
            <w:r>
              <w:instrText> NUMPAGES </w:instrText>
            </w:r>
            <w:r>
              <w:fldChar w:fldCharType="separate"/>
            </w:r>
            <w:r>
              <w:t>39</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68"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68"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90_2145191399"/>
      <w:r>
        <w:rPr/>
      </w:r>
      <w:r>
        <w:rPr/>
      </w:r>
      <w:r>
        <w:fldChar w:fldCharType="end"/>
      </w:r>
      <w:bookmarkStart w:id="1" w:name="__Fieldmark__90_1994686956"/>
      <w:bookmarkStart w:id="2" w:name="__Fieldmark__90_507088266"/>
      <w:bookmarkStart w:id="3" w:name="__Fieldmark__90_550350073"/>
      <w:bookmarkStart w:id="4" w:name="__Fieldmark__13939_286199131"/>
      <w:bookmarkStart w:id="5" w:name="__Fieldmark__90_1152134764"/>
      <w:bookmarkStart w:id="6" w:name="__Fieldmark__9442_209721956"/>
      <w:bookmarkStart w:id="7" w:name="__Fieldmark__90_209721956"/>
      <w:bookmarkStart w:id="8" w:name="__Fieldmark__90_296287327"/>
      <w:bookmarkEnd w:id="0"/>
      <w:bookmarkEnd w:id="1"/>
      <w:bookmarkEnd w:id="2"/>
      <w:bookmarkEnd w:id="3"/>
      <w:bookmarkEnd w:id="4"/>
      <w:bookmarkEnd w:id="5"/>
      <w:bookmarkEnd w:id="6"/>
      <w:bookmarkEnd w:id="7"/>
      <w:bookmarkEnd w:id="8"/>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9" w:name="_Toc139444753"/>
      <w:bookmarkStart w:id="10" w:name="_Toc149557710"/>
      <w:bookmarkStart w:id="11" w:name="_Toc139445062"/>
      <w:bookmarkStart w:id="12" w:name="_Toc455163664"/>
      <w:bookmarkEnd w:id="9"/>
      <w:bookmarkEnd w:id="10"/>
      <w:bookmarkEnd w:id="11"/>
      <w:bookmarkEnd w:id="12"/>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13" w:name="_Toc139444754"/>
      <w:bookmarkStart w:id="14" w:name="_Toc139445063"/>
      <w:bookmarkStart w:id="15" w:name="_Toc149557711"/>
      <w:bookmarkStart w:id="16" w:name="_Toc494089547"/>
      <w:bookmarkStart w:id="17" w:name="_Toc455163665"/>
      <w:bookmarkEnd w:id="13"/>
      <w:bookmarkEnd w:id="14"/>
      <w:bookmarkEnd w:id="15"/>
      <w:bookmarkEnd w:id="16"/>
      <w:bookmarkEnd w:id="17"/>
      <w:r>
        <w:rPr>
          <w:lang w:val="en-US"/>
        </w:rPr>
        <w:t>List of authors</w:t>
      </w:r>
    </w:p>
    <w:tbl>
      <w:tblPr>
        <w:tblW w:w="5000" w:type="pct"/>
        <w:jc w:val="left"/>
        <w:tblInd w:w="-6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3" w:type="dxa"/>
          <w:bottom w:w="0" w:type="dxa"/>
          <w:right w:w="108" w:type="dxa"/>
        </w:tblCellMar>
        <w:tblLook w:val="0000" w:noVBand="0" w:noHBand="0" w:lastColumn="0" w:firstColumn="0" w:lastRow="0" w:firstRow="0"/>
      </w:tblPr>
      <w:tblGrid>
        <w:gridCol w:w="1783"/>
        <w:gridCol w:w="3496"/>
        <w:gridCol w:w="3791"/>
      </w:tblGrid>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widowControl/>
              <w:bidi w:val="0"/>
              <w:spacing w:before="120" w:after="120"/>
              <w:jc w:val="both"/>
              <w:rPr>
                <w:rFonts w:cs="Arial"/>
                <w:lang w:val="en-US"/>
              </w:rPr>
            </w:pPr>
            <w:r>
              <w:rPr>
                <w:rFonts w:cs="Arial"/>
                <w:lang w:val="en-US"/>
              </w:rPr>
              <w:t>Company</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widowControl/>
              <w:bidi w:val="0"/>
              <w:spacing w:before="120" w:after="120"/>
              <w:jc w:val="both"/>
              <w:rPr>
                <w:rFonts w:cs="Arial"/>
                <w:lang w:val="en-US"/>
              </w:rPr>
            </w:pPr>
            <w:r>
              <w:rPr>
                <w:rFonts w:cs="Arial"/>
                <w:lang w:val="en-US"/>
              </w:rPr>
              <w:t>Author</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widowControl/>
              <w:bidi w:val="0"/>
              <w:spacing w:before="120" w:after="120"/>
              <w:jc w:val="both"/>
              <w:rPr>
                <w:rFonts w:cs="Arial"/>
                <w:lang w:val="en-US"/>
              </w:rPr>
            </w:pPr>
            <w:r>
              <w:rPr>
                <w:rFonts w:cs="Arial"/>
                <w:lang w:val="en-US"/>
              </w:rPr>
              <w:t>Contribution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PTIN</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pt-PT"/>
              </w:rPr>
            </w:pPr>
            <w:r>
              <w:rPr>
                <w:lang w:val="pt-PT"/>
              </w:rPr>
              <w:t>Paulo Chainho, Vitor Silva, Luis Duarte</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1" w:type="dxa"/>
            </w:tcMar>
          </w:tcPr>
          <w:p>
            <w:pPr>
              <w:pStyle w:val="Normal"/>
              <w:tabs>
                <w:tab w:val="left" w:pos="2552" w:leader="none"/>
              </w:tabs>
              <w:spacing w:before="120" w:after="120"/>
              <w:rPr>
                <w:lang w:val="pt-PT"/>
              </w:rPr>
            </w:pPr>
            <w:r>
              <w:rPr/>
              <w:t>DT</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1" w:type="dxa"/>
            </w:tcMar>
          </w:tcPr>
          <w:p>
            <w:pPr>
              <w:pStyle w:val="Normal"/>
              <w:tabs>
                <w:tab w:val="left" w:pos="2552" w:leader="none"/>
              </w:tabs>
              <w:spacing w:before="120" w:after="120"/>
              <w:rPr>
                <w:lang w:val="pt-PT"/>
              </w:rPr>
            </w:pPr>
            <w:r>
              <w:rPr/>
              <w:t>Steffen Drüsedow</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1"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pPr>
            <w:r>
              <w:rPr/>
              <w:t>Quobis</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Antón Román Portabales</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INESC-ID</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pt-PT"/>
              </w:rPr>
            </w:pPr>
            <w:r>
              <w:rPr>
                <w:lang w:val="pt-PT"/>
              </w:rPr>
              <w:t>Ricardo Lopes Pereira, Rui Pereira</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FOKUS</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Marc Emmelmann</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en-US"/>
              </w:rPr>
            </w:pPr>
            <w:r>
              <w:rPr>
                <w:lang w:val="en-US"/>
              </w:rPr>
              <w:t>ORANGE</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fr-FR"/>
              </w:rPr>
            </w:pPr>
            <w:r>
              <w:rPr>
                <w:lang w:val="fr-FR"/>
              </w:rPr>
              <w:t xml:space="preserve">Simon Bécot, Eric Paillet, Jean-Michel Crom </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TU Berlin</w:t>
            </w:r>
          </w:p>
        </w:tc>
        <w:tc>
          <w:tcPr>
            <w:tcW w:w="34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vAlign w:val="center"/>
          </w:tcPr>
          <w:p>
            <w:pPr>
              <w:pStyle w:val="Normal"/>
              <w:tabs>
                <w:tab w:val="left" w:pos="2552" w:leader="none"/>
              </w:tabs>
              <w:spacing w:before="120" w:after="120"/>
              <w:rPr>
                <w:lang w:val="en-US"/>
              </w:rPr>
            </w:pPr>
            <w:r>
              <w:rPr>
                <w:lang w:val="en-US"/>
              </w:rPr>
              <w:t xml:space="preserve">Sebastian Goendoer </w:t>
            </w:r>
          </w:p>
        </w:tc>
        <w:tc>
          <w:tcPr>
            <w:tcW w:w="37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8" w:name="_Toc139444755"/>
      <w:bookmarkStart w:id="19" w:name="_Toc139445064"/>
      <w:bookmarkStart w:id="20" w:name="_Toc149557712"/>
      <w:bookmarkStart w:id="21" w:name="_Toc494089548"/>
      <w:bookmarkStart w:id="22" w:name="_Toc455163666"/>
      <w:bookmarkEnd w:id="18"/>
      <w:bookmarkEnd w:id="19"/>
      <w:bookmarkEnd w:id="20"/>
      <w:bookmarkEnd w:id="21"/>
      <w:bookmarkEnd w:id="22"/>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vanish w:val="false"/>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vanish w:val="false"/>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vanish w:val="false"/>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vanish w:val="false"/>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Pr>
          <w:fldChar w:fldCharType="begin"/>
        </w:r>
        <w:r>
          <w:rPr>
            <w:webHidden/>
          </w:rPr>
          <w:instrText>PAGEREF _Toc455163668 \h</w:instrText>
        </w:r>
        <w:r>
          <w:rPr>
            <w:webHidden/>
          </w:rPr>
          <w:fldChar w:fldCharType="separate"/>
        </w:r>
        <w:r>
          <w:rPr>
            <w:webHidden/>
            <w:rStyle w:val="Verzeichnissprung"/>
            <w:vanish w:val="false"/>
          </w:rPr>
          <w:t>Abbreviations</w:t>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vanish w:val="false"/>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vanish w:val="false"/>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vanish w:val="false"/>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vanish w:val="false"/>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vanish w:val="false"/>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vanish w:val="false"/>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vanish w:val="false"/>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vanish w:val="false"/>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vanish w:val="false"/>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vanish w:val="false"/>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vanish w:val="false"/>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vanish w:val="false"/>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vanish w:val="false"/>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vanish w:val="false"/>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vanish w:val="false"/>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vanish w:val="false"/>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vanish w:val="false"/>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vanish w:val="false"/>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vanish w:val="false"/>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vanish w:val="false"/>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vanish w:val="false"/>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vanish w:val="false"/>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vanish w:val="false"/>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vanish w:val="false"/>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vanish w:val="false"/>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vanish w:val="false"/>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vanish w:val="false"/>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vanish w:val="false"/>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vanish w:val="false"/>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vanish w:val="false"/>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vanish w:val="false"/>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vanish w:val="false"/>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vanish w:val="false"/>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vanish w:val="false"/>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vanish w:val="false"/>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vanish w:val="false"/>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vanish w:val="false"/>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vanish w:val="false"/>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vanish w:val="false"/>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vanish w:val="false"/>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vanish w:val="false"/>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vanish w:val="false"/>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vanish w:val="false"/>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vanish w:val="false"/>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vanish w:val="false"/>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vanish w:val="false"/>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vanish w:val="false"/>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vanish w:val="false"/>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vanish w:val="false"/>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vanish w:val="false"/>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vanish w:val="false"/>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vanish w:val="false"/>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23" w:name="_Toc455163667"/>
      <w:bookmarkEnd w:id="23"/>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Pr>
          <w:fldChar w:fldCharType="begin"/>
        </w:r>
        <w:r>
          <w:rPr>
            <w:webHidden/>
          </w:rPr>
          <w:instrText>PAGEREF _Toc455163728 \h</w:instrText>
        </w:r>
        <w:r>
          <w:rPr>
            <w:webHidden/>
          </w:rPr>
          <w:fldChar w:fldCharType="separate"/>
        </w:r>
        <w:r>
          <w:rPr>
            <w:webHidden/>
            <w:rStyle w:val="Verzeichnissprung"/>
            <w:vanish w:val="false"/>
          </w:rPr>
          <w:t>Figure 8 – Hyperty Deployment in The Runtime</w:t>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Pr>
          <w:fldChar w:fldCharType="begin"/>
        </w:r>
        <w:r>
          <w:rPr>
            <w:webHidden/>
          </w:rPr>
          <w:instrText>PAGEREF _Toc455163729 \h</w:instrText>
        </w:r>
        <w:r>
          <w:rPr>
            <w:webHidden/>
          </w:rPr>
          <w:fldChar w:fldCharType="separate"/>
        </w:r>
        <w:r>
          <w:rPr>
            <w:webHidden/>
            <w:rStyle w:val="Verzeichnissprung"/>
            <w:vanish w:val="false"/>
          </w:rPr>
          <w:t>Figure 9 – Protocol Stub deployed in the Runtime</w:t>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Pr>
          <w:fldChar w:fldCharType="begin"/>
        </w:r>
        <w:r>
          <w:rPr>
            <w:webHidden/>
          </w:rPr>
          <w:instrText>PAGEREF _Toc455163730 \h</w:instrText>
        </w:r>
        <w:r>
          <w:rPr>
            <w:webHidden/>
          </w:rPr>
          <w:fldChar w:fldCharType="separate"/>
        </w:r>
        <w:r>
          <w:rPr>
            <w:webHidden/>
            <w:rStyle w:val="Verzeichnissprung"/>
            <w:vanish w:val="false"/>
          </w:rPr>
          <w:t>Figure 10 – IDP Proxy deployed in the Runtime</w:t>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Pr>
          <w:fldChar w:fldCharType="begin"/>
        </w:r>
        <w:r>
          <w:rPr>
            <w:webHidden/>
          </w:rPr>
          <w:instrText>PAGEREF _Toc455163731 \h</w:instrText>
        </w:r>
        <w:r>
          <w:rPr>
            <w:webHidden/>
          </w:rPr>
          <w:fldChar w:fldCharType="separate"/>
        </w:r>
        <w:r>
          <w:rPr>
            <w:webHidden/>
            <w:rStyle w:val="Verzeichnissprung"/>
            <w:vanish w:val="false"/>
          </w:rPr>
          <w:t>Figure 11 – Hello World Reporter publishes updates to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Pr>
          <w:fldChar w:fldCharType="begin"/>
        </w:r>
        <w:r>
          <w:rPr>
            <w:webHidden/>
          </w:rPr>
          <w:instrText>PAGEREF _Toc455163732 \h</w:instrText>
        </w:r>
        <w:r>
          <w:rPr>
            <w:webHidden/>
          </w:rPr>
          <w:fldChar w:fldCharType="separate"/>
        </w:r>
        <w:r>
          <w:rPr>
            <w:webHidden/>
            <w:rStyle w:val="Verzeichnissprung"/>
            <w:vanish w:val="false"/>
          </w:rPr>
          <w:t>Figure 12 - Hello World Observer receives updates on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Pr>
          <w:fldChar w:fldCharType="begin"/>
        </w:r>
        <w:r>
          <w:rPr>
            <w:webHidden/>
          </w:rPr>
          <w:instrText>PAGEREF _Toc455163733 \h</w:instrText>
        </w:r>
        <w:r>
          <w:rPr>
            <w:webHidden/>
          </w:rPr>
          <w:fldChar w:fldCharType="separate"/>
        </w:r>
        <w:r>
          <w:rPr>
            <w:webHidden/>
            <w:rStyle w:val="Verzeichnissprung"/>
            <w:vanish w:val="false"/>
          </w:rPr>
          <w:t>Figure 13 – Global Registry average response time test</w:t>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Pr>
          <w:fldChar w:fldCharType="begin"/>
        </w:r>
        <w:r>
          <w:rPr>
            <w:webHidden/>
          </w:rPr>
          <w:instrText>PAGEREF _Toc455163734 \h</w:instrText>
        </w:r>
        <w:r>
          <w:rPr>
            <w:webHidden/>
          </w:rPr>
          <w:fldChar w:fldCharType="separate"/>
        </w:r>
        <w:r>
          <w:rPr>
            <w:webHidden/>
            <w:rStyle w:val="Verzeichnissprung"/>
            <w:vanish w:val="false"/>
          </w:rPr>
          <w:t>Figure 14 - Deployment architecture</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Pr>
          <w:fldChar w:fldCharType="begin"/>
        </w:r>
        <w:r>
          <w:rPr>
            <w:webHidden/>
          </w:rPr>
          <w:instrText>PAGEREF _Toc455163735 \h</w:instrText>
        </w:r>
        <w:r>
          <w:rPr>
            <w:webHidden/>
          </w:rPr>
          <w:fldChar w:fldCharType="separate"/>
        </w:r>
        <w:r>
          <w:rPr>
            <w:webHidden/>
            <w:rStyle w:val="Verzeichnissprung"/>
            <w:vanish w:val="false"/>
          </w:rPr>
          <w:t>Figure 15 - Test scenarios</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Pr>
          <w:fldChar w:fldCharType="begin"/>
        </w:r>
        <w:r>
          <w:rPr>
            <w:webHidden/>
          </w:rPr>
          <w:instrText>PAGEREF _Toc455163736 \h</w:instrText>
        </w:r>
        <w:r>
          <w:rPr>
            <w:webHidden/>
          </w:rPr>
          <w:fldChar w:fldCharType="separate"/>
        </w:r>
        <w:r>
          <w:rPr>
            <w:webHidden/>
            <w:rStyle w:val="Verzeichnissprung"/>
            <w:vanish w:val="false"/>
          </w:rPr>
          <w:t>Figure 16 -  Effective vs. solicited request rate</w:t>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Pr>
          <w:fldChar w:fldCharType="begin"/>
        </w:r>
        <w:r>
          <w:rPr>
            <w:webHidden/>
          </w:rPr>
          <w:instrText>PAGEREF _Toc455163737 \h</w:instrText>
        </w:r>
        <w:r>
          <w:rPr>
            <w:webHidden/>
          </w:rPr>
          <w:fldChar w:fldCharType="separate"/>
        </w:r>
        <w:r>
          <w:rPr>
            <w:webHidden/>
            <w:rStyle w:val="Verzeichnissprung"/>
            <w:vanish w:val="false"/>
          </w:rPr>
          <w:t>Figure 17 - Average response time</w:t>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Pr>
          <w:fldChar w:fldCharType="begin"/>
        </w:r>
        <w:r>
          <w:rPr>
            <w:webHidden/>
          </w:rPr>
          <w:instrText>PAGEREF _Toc455163738 \h</w:instrText>
        </w:r>
        <w:r>
          <w:rPr>
            <w:webHidden/>
          </w:rPr>
          <w:fldChar w:fldCharType="separate"/>
        </w:r>
        <w:r>
          <w:rPr>
            <w:webHidden/>
            <w:rStyle w:val="Verzeichnissprung"/>
            <w:vanish w:val="false"/>
          </w:rPr>
          <w:t>Figure 18 - Failure recovery test</w:t>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Pr>
          <w:fldChar w:fldCharType="begin"/>
        </w:r>
        <w:r>
          <w:rPr>
            <w:webHidden/>
          </w:rPr>
          <w:instrText>PAGEREF _Toc455163739 \h</w:instrText>
        </w:r>
        <w:r>
          <w:rPr>
            <w:webHidden/>
          </w:rPr>
          <w:fldChar w:fldCharType="separate"/>
        </w:r>
        <w:r>
          <w:rPr>
            <w:webHidden/>
            <w:rStyle w:val="Verzeichnissprung"/>
            <w:vanish w:val="false"/>
          </w:rPr>
          <w:t>Figure 19 - System under test (SUT) for the Catalogue performance assessment</w:t>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Pr>
          <w:fldChar w:fldCharType="begin"/>
        </w:r>
        <w:r>
          <w:rPr>
            <w:webHidden/>
          </w:rPr>
          <w:instrText>PAGEREF _Toc455163740 \h</w:instrText>
        </w:r>
        <w:r>
          <w:rPr>
            <w:webHidden/>
          </w:rPr>
          <w:fldChar w:fldCharType="separate"/>
        </w:r>
        <w:r>
          <w:rPr>
            <w:webHidden/>
            <w:rStyle w:val="Verzeichnissprung"/>
            <w:vanish w:val="false"/>
          </w:rPr>
          <w:t>Figure 20 - Illustration of a single httperf connection</w:t>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Pr>
          <w:fldChar w:fldCharType="begin"/>
        </w:r>
        <w:r>
          <w:rPr>
            <w:webHidden/>
          </w:rPr>
          <w:instrText>PAGEREF _Toc455163741 \h</w:instrText>
        </w:r>
        <w:r>
          <w:rPr>
            <w:webHidden/>
          </w:rPr>
          <w:fldChar w:fldCharType="separate"/>
        </w:r>
        <w:r>
          <w:rPr>
            <w:webHidden/>
            <w:rStyle w:val="Verzeichnissprung"/>
            <w:vanish w:val="false"/>
          </w:rPr>
          <w:t>Figure 21 - Illustration of a multiple httperf connections</w:t>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Pr>
          <w:fldChar w:fldCharType="begin"/>
        </w:r>
        <w:r>
          <w:rPr>
            <w:webHidden/>
          </w:rPr>
          <w:instrText>PAGEREF _Toc455163742 \h</w:instrText>
        </w:r>
        <w:r>
          <w:rPr>
            <w:webHidden/>
          </w:rPr>
          <w:fldChar w:fldCharType="separate"/>
        </w:r>
        <w:r>
          <w:rPr>
            <w:webHidden/>
            <w:rStyle w:val="Verzeichnissprung"/>
            <w:vanish w:val="false"/>
          </w:rPr>
          <w:t>Figure 22 - Catalogue Assessment: Response Time over Demanded Request Rate</w:t>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Pr>
          <w:fldChar w:fldCharType="begin"/>
        </w:r>
        <w:r>
          <w:rPr>
            <w:webHidden/>
          </w:rPr>
          <w:instrText>PAGEREF _Toc455163743 \h</w:instrText>
        </w:r>
        <w:r>
          <w:rPr>
            <w:webHidden/>
          </w:rPr>
          <w:fldChar w:fldCharType="separate"/>
        </w:r>
        <w:r>
          <w:rPr>
            <w:webHidden/>
            <w:rStyle w:val="Verzeichnissprung"/>
            <w:vanish w:val="false"/>
          </w:rPr>
          <w:t>Figure 23 - Catalogue Assessment: Response Time over Demanded Request Rate (unsaturated system, showing 95% confidence values)</w:t>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Pr>
          <w:fldChar w:fldCharType="begin"/>
        </w:r>
        <w:r>
          <w:rPr>
            <w:webHidden/>
          </w:rPr>
          <w:instrText>PAGEREF _Toc455163744 \h</w:instrText>
        </w:r>
        <w:r>
          <w:rPr>
            <w:webHidden/>
          </w:rPr>
          <w:fldChar w:fldCharType="separate"/>
        </w:r>
        <w:r>
          <w:rPr>
            <w:webHidden/>
            <w:rStyle w:val="Verzeichnissprung"/>
            <w:vanish w:val="false"/>
          </w:rPr>
          <w:t>Figure 24 - Catalogue Assessment: Illustates the the actual (i.e., measured) request rate over the demanded request rate</w:t>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vanish w:val="false"/>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24" w:name="_Toc431551384"/>
      <w:bookmarkStart w:id="25" w:name="_Toc455163668"/>
      <w:bookmarkEnd w:id="24"/>
      <w:bookmarkEnd w:id="25"/>
      <w:r>
        <w:rPr/>
        <w:t>Abbreviations</w:t>
      </w:r>
    </w:p>
    <w:tbl>
      <w:tblPr>
        <w:tblStyle w:val="TableGrid"/>
        <w:tblW w:w="5000" w:type="pct"/>
        <w:jc w:val="left"/>
        <w:tblInd w:w="-40" w:type="dxa"/>
        <w:tblCellMar>
          <w:top w:w="0" w:type="dxa"/>
          <w:left w:w="68" w:type="dxa"/>
          <w:bottom w:w="0" w:type="dxa"/>
          <w:right w:w="108" w:type="dxa"/>
        </w:tblCellMar>
        <w:tblLook w:val="04a0" w:noVBand="1" w:noHBand="0" w:lastColumn="0" w:firstColumn="1" w:lastRow="0" w:firstRow="1"/>
      </w:tblPr>
      <w:tblGrid>
        <w:gridCol w:w="1620"/>
        <w:gridCol w:w="7449"/>
      </w:tblGrid>
      <w:tr>
        <w:trPr/>
        <w:tc>
          <w:tcPr>
            <w:tcW w:w="1620" w:type="dxa"/>
            <w:tcBorders/>
            <w:shd w:fill="auto" w:val="clear"/>
            <w:tcMar>
              <w:left w:w="68" w:type="dxa"/>
            </w:tcMar>
            <w:vAlign w:val="center"/>
          </w:tcPr>
          <w:p>
            <w:pPr>
              <w:pStyle w:val="Normal"/>
              <w:spacing w:before="60" w:after="60"/>
              <w:jc w:val="both"/>
              <w:rPr>
                <w:lang w:val="en-US"/>
              </w:rPr>
            </w:pPr>
            <w:r>
              <w:rPr>
                <w:lang w:val="en-US"/>
              </w:rPr>
              <w:t>API</w:t>
            </w:r>
          </w:p>
        </w:tc>
        <w:tc>
          <w:tcPr>
            <w:tcW w:w="7449" w:type="dxa"/>
            <w:tcBorders/>
            <w:shd w:fill="auto" w:val="clear"/>
            <w:tcMar>
              <w:left w:w="68" w:type="dxa"/>
            </w:tcMar>
            <w:vAlign w:val="center"/>
          </w:tcPr>
          <w:p>
            <w:pPr>
              <w:pStyle w:val="Normal"/>
              <w:spacing w:before="60" w:after="60"/>
              <w:jc w:val="both"/>
              <w:rPr>
                <w:lang w:val="en-US"/>
              </w:rPr>
            </w:pPr>
            <w:r>
              <w:rPr>
                <w:lang w:val="en-US"/>
              </w:rPr>
              <w:t>Application Programming Interface</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CSP</w:t>
            </w:r>
          </w:p>
        </w:tc>
        <w:tc>
          <w:tcPr>
            <w:tcW w:w="7449" w:type="dxa"/>
            <w:tcBorders/>
            <w:shd w:fill="auto" w:val="clear"/>
            <w:tcMar>
              <w:left w:w="68" w:type="dxa"/>
            </w:tcMar>
            <w:vAlign w:val="center"/>
          </w:tcPr>
          <w:p>
            <w:pPr>
              <w:pStyle w:val="Normal"/>
              <w:spacing w:before="60" w:after="60"/>
              <w:jc w:val="both"/>
              <w:rPr>
                <w:lang w:val="en-US"/>
              </w:rPr>
            </w:pPr>
            <w:r>
              <w:rPr>
                <w:lang w:val="en-US"/>
              </w:rPr>
              <w:t>Communication Service Provider</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DHT</w:t>
            </w:r>
          </w:p>
        </w:tc>
        <w:tc>
          <w:tcPr>
            <w:tcW w:w="7449" w:type="dxa"/>
            <w:tcBorders/>
            <w:shd w:fill="auto" w:val="clear"/>
            <w:tcMar>
              <w:left w:w="68" w:type="dxa"/>
            </w:tcMar>
            <w:vAlign w:val="center"/>
          </w:tcPr>
          <w:p>
            <w:pPr>
              <w:pStyle w:val="Normal"/>
              <w:spacing w:before="60" w:after="60"/>
              <w:jc w:val="both"/>
              <w:rPr>
                <w:lang w:val="en-US"/>
              </w:rPr>
            </w:pPr>
            <w:r>
              <w:rPr>
                <w:lang w:val="en-US"/>
              </w:rPr>
              <w:t>Distributed hash table</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ECDSA</w:t>
            </w:r>
          </w:p>
        </w:tc>
        <w:tc>
          <w:tcPr>
            <w:tcW w:w="7449" w:type="dxa"/>
            <w:tcBorders/>
            <w:shd w:fill="auto" w:val="clear"/>
            <w:tcMar>
              <w:left w:w="68"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0" w:type="dxa"/>
            <w:tcBorders/>
            <w:shd w:fill="auto" w:val="clear"/>
            <w:tcMar>
              <w:left w:w="68"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9" w:type="dxa"/>
            <w:tcBorders/>
            <w:shd w:fill="auto" w:val="clear"/>
            <w:tcMar>
              <w:left w:w="68"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IdP</w:t>
            </w:r>
          </w:p>
        </w:tc>
        <w:tc>
          <w:tcPr>
            <w:tcW w:w="7449" w:type="dxa"/>
            <w:tcBorders/>
            <w:shd w:fill="auto" w:val="clear"/>
            <w:tcMar>
              <w:left w:w="68" w:type="dxa"/>
            </w:tcMar>
            <w:vAlign w:val="center"/>
          </w:tcPr>
          <w:p>
            <w:pPr>
              <w:pStyle w:val="Normal"/>
              <w:spacing w:before="60" w:after="60"/>
              <w:jc w:val="both"/>
              <w:rPr>
                <w:lang w:val="en-US"/>
              </w:rPr>
            </w:pPr>
            <w:r>
              <w:rPr>
                <w:lang w:val="en-US"/>
              </w:rPr>
              <w:t>Identity Provider</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JIT</w:t>
            </w:r>
          </w:p>
        </w:tc>
        <w:tc>
          <w:tcPr>
            <w:tcW w:w="7449" w:type="dxa"/>
            <w:tcBorders/>
            <w:shd w:fill="auto" w:val="clear"/>
            <w:tcMar>
              <w:left w:w="68" w:type="dxa"/>
            </w:tcMar>
            <w:vAlign w:val="center"/>
          </w:tcPr>
          <w:p>
            <w:pPr>
              <w:pStyle w:val="Normal"/>
              <w:spacing w:before="60" w:after="60"/>
              <w:jc w:val="both"/>
              <w:rPr>
                <w:lang w:val="en-US"/>
              </w:rPr>
            </w:pPr>
            <w:r>
              <w:rPr>
                <w:lang w:val="en-US"/>
              </w:rPr>
              <w:t>Just In Time Compilation</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JVM</w:t>
            </w:r>
          </w:p>
        </w:tc>
        <w:tc>
          <w:tcPr>
            <w:tcW w:w="7449" w:type="dxa"/>
            <w:tcBorders/>
            <w:shd w:fill="auto" w:val="clear"/>
            <w:tcMar>
              <w:left w:w="68" w:type="dxa"/>
            </w:tcMar>
            <w:vAlign w:val="center"/>
          </w:tcPr>
          <w:p>
            <w:pPr>
              <w:pStyle w:val="Normal"/>
              <w:spacing w:before="60" w:after="60"/>
              <w:jc w:val="both"/>
              <w:rPr>
                <w:lang w:val="en-US"/>
              </w:rPr>
            </w:pPr>
            <w:r>
              <w:rPr>
                <w:lang w:val="en-US"/>
              </w:rPr>
              <w:t>Java Virtual Machine</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MN</w:t>
            </w:r>
          </w:p>
        </w:tc>
        <w:tc>
          <w:tcPr>
            <w:tcW w:w="7449" w:type="dxa"/>
            <w:tcBorders/>
            <w:shd w:fill="auto" w:val="clear"/>
            <w:tcMar>
              <w:left w:w="68" w:type="dxa"/>
            </w:tcMar>
            <w:vAlign w:val="center"/>
          </w:tcPr>
          <w:p>
            <w:pPr>
              <w:pStyle w:val="Normal"/>
              <w:spacing w:before="60" w:after="60"/>
              <w:jc w:val="both"/>
              <w:rPr>
                <w:lang w:val="en-US"/>
              </w:rPr>
            </w:pPr>
            <w:r>
              <w:rPr>
                <w:lang w:val="en-US"/>
              </w:rPr>
              <w:t>Message Node</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ProtOfly</w:t>
            </w:r>
          </w:p>
        </w:tc>
        <w:tc>
          <w:tcPr>
            <w:tcW w:w="7449" w:type="dxa"/>
            <w:tcBorders/>
            <w:shd w:fill="auto" w:val="clear"/>
            <w:tcMar>
              <w:left w:w="68" w:type="dxa"/>
            </w:tcMar>
            <w:vAlign w:val="center"/>
          </w:tcPr>
          <w:p>
            <w:pPr>
              <w:pStyle w:val="Normal"/>
              <w:spacing w:before="60" w:after="60"/>
              <w:jc w:val="both"/>
              <w:rPr>
                <w:lang w:val="en-US"/>
              </w:rPr>
            </w:pPr>
            <w:r>
              <w:rPr>
                <w:lang w:val="en-US"/>
              </w:rPr>
              <w:t>Protocol On-the Fly</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QoS</w:t>
            </w:r>
          </w:p>
        </w:tc>
        <w:tc>
          <w:tcPr>
            <w:tcW w:w="7449" w:type="dxa"/>
            <w:tcBorders/>
            <w:shd w:fill="auto" w:val="clear"/>
            <w:tcMar>
              <w:left w:w="68" w:type="dxa"/>
            </w:tcMar>
            <w:vAlign w:val="center"/>
          </w:tcPr>
          <w:p>
            <w:pPr>
              <w:pStyle w:val="Normal"/>
              <w:spacing w:before="60" w:after="60"/>
              <w:jc w:val="both"/>
              <w:rPr>
                <w:lang w:val="en-US"/>
              </w:rPr>
            </w:pPr>
            <w:r>
              <w:rPr>
                <w:lang w:val="en-US"/>
              </w:rPr>
              <w:t>Quality of Service</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KPI</w:t>
            </w:r>
          </w:p>
        </w:tc>
        <w:tc>
          <w:tcPr>
            <w:tcW w:w="7449" w:type="dxa"/>
            <w:tcBorders/>
            <w:shd w:fill="auto" w:val="clear"/>
            <w:tcMar>
              <w:left w:w="68" w:type="dxa"/>
            </w:tcMar>
            <w:vAlign w:val="center"/>
          </w:tcPr>
          <w:p>
            <w:pPr>
              <w:pStyle w:val="Normal"/>
              <w:spacing w:before="60" w:after="60"/>
              <w:jc w:val="both"/>
              <w:rPr>
                <w:lang w:val="en-US"/>
              </w:rPr>
            </w:pPr>
            <w:r>
              <w:rPr>
                <w:lang w:val="en-US"/>
              </w:rPr>
              <w:t>Key Performance Indicator</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RTT</w:t>
            </w:r>
          </w:p>
        </w:tc>
        <w:tc>
          <w:tcPr>
            <w:tcW w:w="7449" w:type="dxa"/>
            <w:tcBorders/>
            <w:shd w:fill="auto" w:val="clear"/>
            <w:tcMar>
              <w:left w:w="68" w:type="dxa"/>
            </w:tcMar>
            <w:vAlign w:val="center"/>
          </w:tcPr>
          <w:p>
            <w:pPr>
              <w:pStyle w:val="Normal"/>
              <w:spacing w:before="60" w:after="60"/>
              <w:jc w:val="both"/>
              <w:rPr/>
            </w:pPr>
            <w:hyperlink r:id="rId4">
              <w:r>
                <w:rPr>
                  <w:webHidden/>
                  <w:rStyle w:val="Internetlink"/>
                  <w:vanish/>
                  <w:lang w:val="en-US"/>
                </w:rPr>
                <w:t>Round-trip delay time</w:t>
              </w:r>
            </w:hyperlink>
          </w:p>
        </w:tc>
      </w:tr>
      <w:tr>
        <w:trPr/>
        <w:tc>
          <w:tcPr>
            <w:tcW w:w="1620" w:type="dxa"/>
            <w:tcBorders/>
            <w:shd w:fill="auto" w:val="clear"/>
            <w:tcMar>
              <w:left w:w="68" w:type="dxa"/>
            </w:tcMar>
            <w:vAlign w:val="center"/>
          </w:tcPr>
          <w:p>
            <w:pPr>
              <w:pStyle w:val="Normal"/>
              <w:spacing w:before="60" w:after="60"/>
              <w:jc w:val="both"/>
              <w:rPr>
                <w:lang w:val="en-US"/>
              </w:rPr>
            </w:pPr>
            <w:r>
              <w:rPr>
                <w:lang w:val="en-US"/>
              </w:rPr>
              <w:t>SUT</w:t>
            </w:r>
          </w:p>
        </w:tc>
        <w:tc>
          <w:tcPr>
            <w:tcW w:w="7449" w:type="dxa"/>
            <w:tcBorders/>
            <w:shd w:fill="auto" w:val="clear"/>
            <w:tcMar>
              <w:left w:w="68" w:type="dxa"/>
            </w:tcMar>
            <w:vAlign w:val="center"/>
          </w:tcPr>
          <w:p>
            <w:pPr>
              <w:pStyle w:val="Normal"/>
              <w:spacing w:before="60" w:after="60"/>
              <w:jc w:val="both"/>
              <w:rPr>
                <w:lang w:val="en-US"/>
              </w:rPr>
            </w:pPr>
            <w:r>
              <w:rPr>
                <w:lang w:val="en-US"/>
              </w:rPr>
              <w:t>System Under Test</w:t>
            </w:r>
          </w:p>
        </w:tc>
      </w:tr>
      <w:tr>
        <w:trPr/>
        <w:tc>
          <w:tcPr>
            <w:tcW w:w="1620" w:type="dxa"/>
            <w:tcBorders/>
            <w:shd w:fill="auto" w:val="clear"/>
            <w:tcMar>
              <w:left w:w="68" w:type="dxa"/>
            </w:tcMar>
            <w:vAlign w:val="center"/>
          </w:tcPr>
          <w:p>
            <w:pPr>
              <w:pStyle w:val="Normal"/>
              <w:spacing w:before="60" w:after="60"/>
              <w:jc w:val="both"/>
              <w:rPr>
                <w:lang w:val="en-US"/>
              </w:rPr>
            </w:pPr>
            <w:r>
              <w:rPr>
                <w:lang w:val="en-US"/>
              </w:rPr>
              <w:t>VM</w:t>
            </w:r>
          </w:p>
        </w:tc>
        <w:tc>
          <w:tcPr>
            <w:tcW w:w="7449" w:type="dxa"/>
            <w:tcBorders/>
            <w:shd w:fill="auto" w:val="clear"/>
            <w:tcMar>
              <w:left w:w="68"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26" w:name="_Toc455163669"/>
      <w:bookmarkEnd w:id="26"/>
      <w:r>
        <w:rPr>
          <w:lang w:val="en-US"/>
        </w:rPr>
        <w:t>Introduction</w:t>
      </w:r>
    </w:p>
    <w:p>
      <w:pPr>
        <w:pStyle w:val="Normal"/>
        <w:rPr/>
      </w:pPr>
      <w:r>
        <w:rPr/>
      </w:r>
    </w:p>
    <w:p>
      <w:pPr>
        <w:pStyle w:val="Berschrift1"/>
        <w:numPr>
          <w:ilvl w:val="0"/>
          <w:numId w:val="3"/>
        </w:numPr>
        <w:rPr/>
      </w:pPr>
      <w:bookmarkStart w:id="27" w:name="_Toc455163670"/>
      <w:bookmarkEnd w:id="27"/>
      <w:r>
        <w:rPr/>
        <w:t>Technical Evaluations</w:t>
      </w:r>
    </w:p>
    <w:p>
      <w:pPr>
        <w:pStyle w:val="Normal"/>
        <w:rPr/>
      </w:pPr>
      <w:r>
        <w:rPr/>
        <w:t>This chapter provides a detailed technical evaluation for each different sub-system implemented in phase 1 and deployed in the testbed, namely the Message Nodes (Vertx, NodeJS, NoMatrix), the Hyperty Runtime, the Domain Registry, the Global Registry, the Catalogue and the IDP.</w:t>
      </w:r>
    </w:p>
    <w:p>
      <w:pPr>
        <w:pStyle w:val="Normal"/>
        <w:rPr/>
      </w:pPr>
      <w:r>
        <w:rPr/>
        <w:t xml:space="preserve">The further development of the Matrix based Message Node has been frozen after phase 1. The phase 1 assessment results have shown that the Matrix architecture causes relatively long delays for the establishment of new communication channels, but is fast once the channel is established. Since the phase 1 reTHINK framework always generated new identifiers, it was decided to freeze and postpone the Matrix based developments until the persistence and re-use of identifiers was introduced to the core-framework. 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p>
    <w:p>
      <w:pPr>
        <w:pStyle w:val="Berschrift2"/>
        <w:numPr>
          <w:ilvl w:val="1"/>
          <w:numId w:val="3"/>
        </w:numPr>
        <w:rPr/>
      </w:pPr>
      <w:bookmarkStart w:id="28" w:name="_Toc455163671"/>
      <w:bookmarkEnd w:id="28"/>
      <w:r>
        <w:rPr/>
        <w:t>Message Node</w:t>
      </w:r>
    </w:p>
    <w:p>
      <w:pPr>
        <w:pStyle w:val="Berschrift3"/>
        <w:numPr>
          <w:ilvl w:val="2"/>
          <w:numId w:val="3"/>
        </w:numPr>
        <w:rPr/>
      </w:pPr>
      <w:bookmarkStart w:id="29" w:name="_Toc455163672"/>
      <w:bookmarkEnd w:id="29"/>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30" w:name="_Toc455163673"/>
      <w:bookmarkEnd w:id="30"/>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3"/>
        </w:numPr>
        <w:rPr/>
      </w:pPr>
      <w:bookmarkStart w:id="31" w:name="_Toc455163674"/>
      <w:bookmarkEnd w:id="31"/>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5">
        <w:r>
          <w:rPr>
            <w:webHidden/>
            <w:rStyle w:val="Internetlink"/>
            <w:rFonts w:asciiTheme="minorHAnsi" w:hAnsiTheme="minorHAnsi"/>
            <w:vanish/>
            <w:highlight w:val="yellow"/>
          </w:rPr>
          <w:t>https://github.com/reTHINK-project/specs/blob/master/messaging-framework/protostub-state-machine.png</w:t>
        </w:r>
      </w:hyperlink>
      <w:r>
        <w:rPr>
          <w:rFonts w:asciiTheme="minorHAnsi" w:hAnsiTheme="minorHAnsi"/>
          <w:highlight w:val="yellow"/>
        </w:rPr>
        <w:t>.</w:t>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120" w:after="120"/>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Test delivery and receiving of status update events (very NEW in spec.)</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32" w:name="_Toc455163675"/>
      <w:bookmarkEnd w:id="32"/>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33" w:name="_Toc455163676"/>
      <w:bookmarkStart w:id="34" w:name="__DdeLink__4118_1165448735"/>
      <w:bookmarkEnd w:id="33"/>
      <w:bookmarkEnd w:id="34"/>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5165" cy="4787265"/>
                <wp:effectExtent l="0" t="0" r="0" b="0"/>
                <wp:docPr id="2" name=""/>
                <a:graphic xmlns:a="http://schemas.openxmlformats.org/drawingml/2006/main">
                  <a:graphicData uri="http://schemas.microsoft.com/office/word/2010/wordprocessingShape">
                    <wps:wsp>
                      <wps:cNvSpPr/>
                      <wps:spPr>
                        <a:xfrm>
                          <a:off x="0" y="0"/>
                          <a:ext cx="5764680" cy="47865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5" w:name="_Toc455163721"/>
                            <w:r>
                              <w:rPr/>
                              <w:t xml:space="preserve">Figure </w:t>
                            </w:r>
                            <w:r>
                              <w:rPr/>
                              <w:fldChar w:fldCharType="begin"/>
                            </w:r>
                            <w:r>
                              <w:instrText> SEQ Figure \* ARABIC </w:instrText>
                            </w:r>
                            <w:r>
                              <w:fldChar w:fldCharType="separate"/>
                            </w:r>
                            <w:r>
                              <w:t>1</w:t>
                            </w:r>
                            <w:r>
                              <w:fldChar w:fldCharType="end"/>
                            </w:r>
                            <w:bookmarkEnd w:id="35"/>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85pt;height:376.85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0" distR="0">
                            <wp:extent cx="5760085" cy="431990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6" w:name="_Toc455163721"/>
                      <w:r>
                        <w:rPr/>
                        <w:t xml:space="preserve">Figure </w:t>
                      </w:r>
                      <w:r>
                        <w:rPr/>
                        <w:fldChar w:fldCharType="begin"/>
                      </w:r>
                      <w:r>
                        <w:instrText> SEQ Figure \* ARABIC </w:instrText>
                      </w:r>
                      <w:r>
                        <w:fldChar w:fldCharType="separate"/>
                      </w:r>
                      <w:r>
                        <w:t>1</w:t>
                      </w:r>
                      <w:r>
                        <w:fldChar w:fldCharType="end"/>
                      </w:r>
                      <w:bookmarkEnd w:id="36"/>
                      <w:r>
                        <w:rPr/>
                        <w:t>: Overview of specification conformance test results</w:t>
                      </w:r>
                    </w:p>
                  </w:txbxContent>
                </v:textbox>
              </v:rect>
            </w:pict>
          </mc:Fallback>
        </mc:AlternateContent>
      </w:r>
    </w:p>
    <w:p>
      <w:pPr>
        <w:pStyle w:val="Normal"/>
        <w:rPr/>
      </w:pPr>
      <w:r>
        <w:rPr/>
      </w:r>
    </w:p>
    <w:p>
      <w:pPr>
        <w:pStyle w:val="Normal"/>
        <w:rPr/>
      </w:pPr>
      <w:r>
        <w:rPr>
          <w:b/>
          <w:bCs/>
          <w:i/>
          <w:iCs/>
        </w:rPr>
        <w:t>Connection and status event emission test</w:t>
      </w:r>
    </w:p>
    <w:p>
      <w:pPr>
        <w:pStyle w:val="Normal"/>
        <w:rPr/>
      </w:pPr>
      <w:r>
        <w:rPr/>
        <w:t xml:space="preserve">All 3 nodes pass the basic connect and disconnect test and emitted the correct sequence of status events during the deployment and connection phase. </w:t>
      </w:r>
    </w:p>
    <w:p>
      <w:pPr>
        <w:pStyle w:val="Normal"/>
        <w:rPr/>
      </w:pPr>
      <w:r>
        <w:rPr>
          <w:b/>
          <w:bCs/>
          <w:i/>
          <w:iCs/>
        </w:rPr>
        <w:t>Address allocation / de-allocation tests:</w:t>
      </w:r>
    </w:p>
    <w:p>
      <w:pPr>
        <w:pStyle w:val="Normal"/>
        <w:rPr>
          <w:rFonts w:ascii="Calibri" w:hAnsi="Calibri" w:asciiTheme="minorHAnsi" w:hAnsiTheme="minorHAnsi"/>
        </w:rPr>
      </w:pPr>
      <w:r>
        <w:rPr>
          <w:rFonts w:asciiTheme="minorHAnsi" w:hAnsiTheme="minorHAnsi"/>
        </w:rPr>
        <w:t>Also all tests for the allocation and de-allocation of hyperty and object addresses where passed successfully by all 3 message nodes.</w:t>
      </w:r>
    </w:p>
    <w:p>
      <w:pPr>
        <w:pStyle w:val="Normal"/>
        <w:rPr>
          <w:b/>
          <w:b/>
          <w:bCs/>
          <w:i/>
          <w:i/>
          <w:iCs/>
        </w:rPr>
      </w:pPr>
      <w:r>
        <w:rPr>
          <w:rFonts w:asciiTheme="minorHAnsi" w:hAnsiTheme="minorHAnsi"/>
          <w:b/>
          <w:bCs/>
          <w:i/>
          <w:iCs/>
        </w:rPr>
        <w:t>Subscription and publish:</w:t>
      </w:r>
    </w:p>
    <w:p>
      <w:pPr>
        <w:pStyle w:val="Normal"/>
        <w:rPr>
          <w:rFonts w:ascii="Calibri" w:hAnsi="Calibri" w:asciiTheme="minorHAnsi" w:hAnsiTheme="minorHAnsi"/>
        </w:rPr>
      </w:pPr>
      <w:r>
        <w:rPr>
          <w:rFonts w:asciiTheme="minorHAnsi" w:hAnsiTheme="minorHAnsi"/>
        </w:rPr>
        <w:t>All 3 nodes have passed the test for subscription and publication of data object updates according to the latest specification</w:t>
      </w:r>
    </w:p>
    <w:p>
      <w:pPr>
        <w:pStyle w:val="Normal"/>
        <w:rPr>
          <w:b/>
          <w:b/>
          <w:bCs/>
          <w:i/>
          <w:i/>
          <w:iCs/>
        </w:rPr>
      </w:pPr>
      <w:r>
        <w:rPr>
          <w:rFonts w:asciiTheme="minorHAnsi" w:hAnsiTheme="minorHAnsi"/>
          <w:b/>
          <w:bCs/>
          <w:i/>
          <w:iCs/>
        </w:rPr>
        <w:t>Registry interactions:</w:t>
      </w:r>
    </w:p>
    <w:p>
      <w:pPr>
        <w:pStyle w:val="Normal"/>
        <w:jc w:val="both"/>
        <w:rPr>
          <w:rFonts w:ascii="Calibri" w:hAnsi="Calibri" w:asciiTheme="minorHAnsi" w:hAnsiTheme="minorHAnsi"/>
          <w:b/>
          <w:b/>
          <w:bCs/>
        </w:rPr>
      </w:pPr>
      <w:r>
        <w:rPr>
          <w:rFonts w:asciiTheme="minorHAnsi" w:hAnsiTheme="minorHAnsi"/>
          <w:b/>
          <w:bCs/>
        </w:rPr>
        <w:t>Notes:</w:t>
      </w:r>
    </w:p>
    <w:p>
      <w:pPr>
        <w:pStyle w:val="Normal"/>
        <w:rPr/>
      </w:pPr>
      <w:r>
        <w:rPr>
          <w:rFonts w:asciiTheme="minorHAnsi" w:hAnsiTheme="minorHAnsi"/>
        </w:rPr>
        <w:t>For the interaction with the Domain Registry all 3 nodes make use of a RegistryConnector component that is available as a plug-in module. Therefore the pure message format and exchange between the MN and the domain registry is identical for all 3 MNs. Differences are only be caused by the way how messages are identified and assigned to the RegistryConnector plugin and how responses are parsed and routed back.</w:t>
      </w:r>
    </w:p>
    <w:p>
      <w:pPr>
        <w:pStyle w:val="Normal"/>
        <w:rPr/>
      </w:pPr>
      <w:r>
        <w:rPr>
          <w:rFonts w:asciiTheme="minorHAnsi" w:hAnsiTheme="minorHAnsi"/>
          <w:b/>
          <w:bCs/>
        </w:rPr>
        <w:t>Results:</w:t>
      </w:r>
    </w:p>
    <w:p>
      <w:pPr>
        <w:pStyle w:val="Normal"/>
        <w:rPr/>
      </w:pPr>
      <w:r>
        <w:rPr>
          <w:rFonts w:asciiTheme="minorHAnsi" w:hAnsiTheme="minorHAnsi"/>
        </w:rPr>
        <w:t>All MNs are failing to pass Test 5.10 (Test delivery and receiving of status update events). This test checks a quite recent addition of the spec. which allows any runtime to subscribe for status-changes of hyperties or objects in the domain registry. This functionality will require an architectural extension of the RegistryConnector, because it needs to implement a server interface as well in order to receive notification from the domain registry. So far it only acts in the client role, sending requests and to the domain registry and expecting responses. This extension is – at the time of test execution - not yet implemented in the RegistryConnector and therefore the corresponding test fails for all nodes using it.</w:t>
      </w:r>
    </w:p>
    <w:p>
      <w:pPr>
        <w:pStyle w:val="Normal"/>
        <w:rPr/>
      </w:pPr>
      <w:r>
        <w:rPr>
          <w:rFonts w:asciiTheme="minorHAnsi" w:hAnsiTheme="minorHAnsi"/>
        </w:rPr>
        <w:t>The mentioned new feature is not yet part of the rethink core framework – therefore this failed test is not crucial for the use of the MNs.</w:t>
      </w:r>
    </w:p>
    <w:p>
      <w:pPr>
        <w:pStyle w:val="Normal"/>
        <w:rPr/>
      </w:pPr>
      <w:r>
        <w:rPr>
          <w:rFonts w:asciiTheme="minorHAnsi" w:hAnsiTheme="minorHAnsi"/>
        </w:rPr>
        <w:t>All 3 Nodes are passing the remaining 10 tests successfully.</w:t>
      </w:r>
      <w:r>
        <w:rPr>
          <w:rFonts w:asciiTheme="minorHAnsi" w:hAnsiTheme="minorHAnsi"/>
        </w:rPr>
        <w:t xml:space="preserve"> </w:t>
      </w:r>
    </w:p>
    <w:p>
      <w:pPr>
        <w:pStyle w:val="Normal"/>
        <w:rPr>
          <w:rFonts w:ascii="Calibri" w:hAnsi="Calibri" w:asciiTheme="minorHAnsi" w:hAnsiTheme="minorHAnsi"/>
          <w:highlight w:val="yellow"/>
        </w:rPr>
      </w:pPr>
      <w:r>
        <w:rPr>
          <w:rFonts w:asciiTheme="minorHAnsi" w:hAnsiTheme="minorHAnsi"/>
          <w:highlight w:val="yellow"/>
        </w:rPr>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5165" cy="6068060"/>
                <wp:effectExtent l="0" t="0" r="0" b="0"/>
                <wp:docPr id="6" name=""/>
                <a:graphic xmlns:a="http://schemas.openxmlformats.org/drawingml/2006/main">
                  <a:graphicData uri="http://schemas.microsoft.com/office/word/2010/wordprocessingShape">
                    <wps:wsp>
                      <wps:cNvSpPr/>
                      <wps:spPr>
                        <a:xfrm>
                          <a:off x="0" y="0"/>
                          <a:ext cx="5764680" cy="60674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7" w:name="_Toc455163722"/>
                            <w:r>
                              <w:rPr/>
                              <w:t xml:space="preserve">Figure </w:t>
                            </w:r>
                            <w:r>
                              <w:rPr/>
                              <w:fldChar w:fldCharType="begin"/>
                            </w:r>
                            <w:r>
                              <w:instrText> SEQ Figure \* ARABIC </w:instrText>
                            </w:r>
                            <w:r>
                              <w:fldChar w:fldCharType="separate"/>
                            </w:r>
                            <w:r>
                              <w:t>2</w:t>
                            </w:r>
                            <w:r>
                              <w:fldChar w:fldCharType="end"/>
                            </w:r>
                            <w:bookmarkEnd w:id="37"/>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5pt;height:477.7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352415" cy="563308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8" w:name="_Toc455163722"/>
                      <w:r>
                        <w:rPr/>
                        <w:t xml:space="preserve">Figure </w:t>
                      </w:r>
                      <w:r>
                        <w:rPr/>
                        <w:fldChar w:fldCharType="begin"/>
                      </w:r>
                      <w:r>
                        <w:instrText> SEQ Figure \* ARABIC </w:instrText>
                      </w:r>
                      <w:r>
                        <w:fldChar w:fldCharType="separate"/>
                      </w:r>
                      <w:r>
                        <w:t>2</w:t>
                      </w:r>
                      <w:r>
                        <w:fldChar w:fldCharType="end"/>
                      </w:r>
                      <w:bookmarkEnd w:id="38"/>
                      <w:r>
                        <w:rPr/>
                        <w:t>: Performance of Hyperty address allocations</w:t>
                      </w:r>
                    </w:p>
                  </w:txbxContent>
                </v:textbox>
              </v:rect>
            </w:pict>
          </mc:Fallback>
        </mc:AlternateContent>
      </w:r>
    </w:p>
    <w:p>
      <w:pPr>
        <w:pStyle w:val="Normal"/>
        <w:rPr/>
      </w:pPr>
      <w:r>
        <w:rPr/>
      </w:r>
    </w:p>
    <w:p>
      <w:pPr>
        <w:pStyle w:val="Normal"/>
        <w:rPr/>
      </w:pPr>
      <w:r>
        <w:rPr>
          <w:rFonts w:asciiTheme="minorHAnsi" w:hAnsiTheme="minorHAnsi"/>
        </w:rPr>
        <w:t>All 3 nodes successfully passed all hyperty address allocation tests. The performance of the hyperty allocations is on a comparable level for all nodes, while the NoMatrix MN performs slightly faster than the Vertx and Nodejs MNs. The NodeJS MN became a little bit slower especially for higher iteration numbers and for tests with several address allocations at once.</w:t>
      </w:r>
    </w:p>
    <w:p>
      <w:pPr>
        <w:pStyle w:val="Normal"/>
        <w:jc w:val="center"/>
        <w:rPr/>
      </w:pPr>
      <w:r>
        <w:rPr/>
        <mc:AlternateContent>
          <mc:Choice Requires="wps">
            <w:drawing>
              <wp:inline distT="0" distB="0" distL="0" distR="0" wp14:anchorId="6E0584A8">
                <wp:extent cx="5765165" cy="6628130"/>
                <wp:effectExtent l="0" t="0" r="0" b="0"/>
                <wp:docPr id="10" name=""/>
                <a:graphic xmlns:a="http://schemas.openxmlformats.org/drawingml/2006/main">
                  <a:graphicData uri="http://schemas.microsoft.com/office/word/2010/wordprocessingShape">
                    <wps:wsp>
                      <wps:cNvSpPr/>
                      <wps:spPr>
                        <a:xfrm>
                          <a:off x="0" y="0"/>
                          <a:ext cx="5764680" cy="66276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30520" cy="624459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9" w:name="_Toc455163723"/>
                            <w:r>
                              <w:rPr/>
                              <w:t xml:space="preserve">Figure </w:t>
                            </w:r>
                            <w:r>
                              <w:rPr/>
                              <w:fldChar w:fldCharType="begin"/>
                            </w:r>
                            <w:r>
                              <w:instrText> SEQ Figure \* ARABIC </w:instrText>
                            </w:r>
                            <w:r>
                              <w:fldChar w:fldCharType="separate"/>
                            </w:r>
                            <w:r>
                              <w:t>3</w:t>
                            </w:r>
                            <w:r>
                              <w:fldChar w:fldCharType="end"/>
                            </w:r>
                            <w:bookmarkEnd w:id="39"/>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5pt;height:521.8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430520" cy="624459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40" w:name="_Toc455163723"/>
                      <w:r>
                        <w:rPr/>
                        <w:t xml:space="preserve">Figure </w:t>
                      </w:r>
                      <w:r>
                        <w:rPr/>
                        <w:fldChar w:fldCharType="begin"/>
                      </w:r>
                      <w:r>
                        <w:instrText> SEQ Figure \* ARABIC </w:instrText>
                      </w:r>
                      <w:r>
                        <w:fldChar w:fldCharType="separate"/>
                      </w:r>
                      <w:r>
                        <w:t>3</w:t>
                      </w:r>
                      <w:r>
                        <w:fldChar w:fldCharType="end"/>
                      </w:r>
                      <w:bookmarkEnd w:id="40"/>
                      <w:r>
                        <w:rPr/>
                        <w:t>: Performance of Hyperty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hyperty address de-allocation tests. The performance of the de-allocations is in general up to 20% better than for the hyperty address allocations. </w:t>
      </w:r>
    </w:p>
    <w:p>
      <w:pPr>
        <w:pStyle w:val="Normal"/>
        <w:rPr/>
      </w:pPr>
      <w:r>
        <w:rPr>
          <w:rFonts w:asciiTheme="minorHAnsi" w:hAnsiTheme="minorHAnsi"/>
        </w:rPr>
        <w:t>The NoMatrix MN performs slightly faster than the Vertx and Nodejs MNs. The NodeJS MN became a little bit slower especially for higher iteration numbers and for tests with several address de-allocations at once.</w:t>
      </w:r>
    </w:p>
    <w:p>
      <w:pPr>
        <w:pStyle w:val="Normal"/>
        <w:keepNext/>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5165" cy="5769610"/>
                <wp:effectExtent l="0" t="0" r="0" b="0"/>
                <wp:docPr id="14" name=""/>
                <a:graphic xmlns:a="http://schemas.openxmlformats.org/drawingml/2006/main">
                  <a:graphicData uri="http://schemas.microsoft.com/office/word/2010/wordprocessingShape">
                    <wps:wsp>
                      <wps:cNvSpPr/>
                      <wps:spPr>
                        <a:xfrm>
                          <a:off x="0" y="0"/>
                          <a:ext cx="5764680" cy="57690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41" w:name="_Toc455163724"/>
                            <w:r>
                              <w:rPr/>
                              <w:t xml:space="preserve">Figure </w:t>
                            </w:r>
                            <w:r>
                              <w:rPr/>
                              <w:fldChar w:fldCharType="begin"/>
                            </w:r>
                            <w:r>
                              <w:instrText> SEQ Figure \* ARABIC </w:instrText>
                            </w:r>
                            <w:r>
                              <w:fldChar w:fldCharType="separate"/>
                            </w:r>
                            <w:r>
                              <w:t>4</w:t>
                            </w:r>
                            <w:r>
                              <w:fldChar w:fldCharType="end"/>
                            </w:r>
                            <w:bookmarkEnd w:id="41"/>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5pt;height:454.2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0" distR="0">
                            <wp:extent cx="5519420" cy="5272405"/>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42" w:name="_Toc455163724"/>
                      <w:r>
                        <w:rPr/>
                        <w:t xml:space="preserve">Figure </w:t>
                      </w:r>
                      <w:r>
                        <w:rPr/>
                        <w:fldChar w:fldCharType="begin"/>
                      </w:r>
                      <w:r>
                        <w:instrText> SEQ Figure \* ARABIC </w:instrText>
                      </w:r>
                      <w:r>
                        <w:fldChar w:fldCharType="separate"/>
                      </w:r>
                      <w:r>
                        <w:t>4</w:t>
                      </w:r>
                      <w:r>
                        <w:fldChar w:fldCharType="end"/>
                      </w:r>
                      <w:bookmarkEnd w:id="42"/>
                      <w:r>
                        <w:rPr/>
                        <w:t>: Performance of Object address allocations</w:t>
                      </w:r>
                    </w:p>
                  </w:txbxContent>
                </v:textbox>
              </v:rect>
            </w:pict>
          </mc:Fallback>
        </mc:AlternateContent>
      </w:r>
    </w:p>
    <w:p>
      <w:pPr>
        <w:pStyle w:val="Normal"/>
        <w:rPr/>
      </w:pPr>
      <w:r>
        <w:rPr/>
      </w:r>
    </w:p>
    <w:p>
      <w:pPr>
        <w:pStyle w:val="Normal"/>
        <w:rPr/>
      </w:pPr>
      <w:r>
        <w:rPr>
          <w:rFonts w:asciiTheme="minorHAnsi" w:hAnsiTheme="minorHAnsi"/>
        </w:rPr>
        <w:t>All 3 nodes passed successfully all object address allocation tests. The NoMatrix MN performs slightly faster than the Vertx, which again is slightly faster than the Nodejs MNs. But in general the performance is on comparable level.</w:t>
      </w:r>
    </w:p>
    <w:p>
      <w:pPr>
        <w:pStyle w:val="Normal"/>
        <w:rPr/>
      </w:pPr>
      <w:r>
        <w:rPr/>
        <mc:AlternateContent>
          <mc:Choice Requires="wps">
            <w:drawing>
              <wp:inline distT="0" distB="0" distL="0" distR="0">
                <wp:extent cx="5765165" cy="6743065"/>
                <wp:effectExtent l="0" t="0" r="0" b="0"/>
                <wp:docPr id="18" name=""/>
                <a:graphic xmlns:a="http://schemas.openxmlformats.org/drawingml/2006/main">
                  <a:graphicData uri="http://schemas.microsoft.com/office/word/2010/wordprocessingShape">
                    <wps:wsp>
                      <wps:cNvSpPr/>
                      <wps:spPr>
                        <a:xfrm>
                          <a:off x="0" y="0"/>
                          <a:ext cx="5764680" cy="67424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3" w:name="_Toc455163725"/>
                            <w:r>
                              <w:rPr/>
                              <w:t xml:space="preserve">Figure </w:t>
                            </w:r>
                            <w:r>
                              <w:rPr/>
                              <w:fldChar w:fldCharType="begin"/>
                            </w:r>
                            <w:r>
                              <w:instrText> SEQ Figure \* ARABIC </w:instrText>
                            </w:r>
                            <w:r>
                              <w:fldChar w:fldCharType="separate"/>
                            </w:r>
                            <w:r>
                              <w:t>5</w:t>
                            </w:r>
                            <w:r>
                              <w:fldChar w:fldCharType="end"/>
                            </w:r>
                            <w:bookmarkEnd w:id="43"/>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85pt;height:530.8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480050" cy="6160770"/>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4" w:name="_Toc455163725"/>
                      <w:r>
                        <w:rPr/>
                        <w:t xml:space="preserve">Figure </w:t>
                      </w:r>
                      <w:r>
                        <w:rPr/>
                        <w:fldChar w:fldCharType="begin"/>
                      </w:r>
                      <w:r>
                        <w:instrText> SEQ Figure \* ARABIC </w:instrText>
                      </w:r>
                      <w:r>
                        <w:fldChar w:fldCharType="separate"/>
                      </w:r>
                      <w:r>
                        <w:t>5</w:t>
                      </w:r>
                      <w:r>
                        <w:fldChar w:fldCharType="end"/>
                      </w:r>
                      <w:bookmarkEnd w:id="44"/>
                      <w:r>
                        <w:rPr/>
                        <w:t>: Performance of Object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object address de-allocation tests. Also for the object addresses the performance of the de-allocations is in general up to 20% better than for the allocations. </w:t>
      </w:r>
    </w:p>
    <w:p>
      <w:pPr>
        <w:pStyle w:val="Normal"/>
        <w:rPr/>
      </w:pPr>
      <w:bookmarkStart w:id="45" w:name="__DdeLink__4688_209721956"/>
      <w:bookmarkEnd w:id="45"/>
      <w:r>
        <w:rPr>
          <w:rFonts w:asciiTheme="minorHAnsi" w:hAnsiTheme="minorHAnsi"/>
        </w:rPr>
        <w:t>The performance of the 3 nodes is on a comparable level, again with a small advantage for the NoMatrix MN in most of the tests.</w:t>
      </w:r>
    </w:p>
    <w:p>
      <w:pPr>
        <w:pStyle w:val="Normal"/>
        <w:rPr>
          <w:rFonts w:ascii="Calibri" w:hAnsi="Calibri" w:asciiTheme="minorHAnsi" w:hAnsiTheme="minorHAnsi"/>
          <w:highlight w:val="yellow"/>
        </w:rPr>
      </w:pPr>
      <w:r>
        <w:rPr>
          <w:rFonts w:asciiTheme="minorHAnsi" w:hAnsiTheme="minorHAnsi"/>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5165" cy="7246620"/>
                <wp:effectExtent l="0" t="0" r="0" b="0"/>
                <wp:docPr id="22" name=""/>
                <a:graphic xmlns:a="http://schemas.openxmlformats.org/drawingml/2006/main">
                  <a:graphicData uri="http://schemas.microsoft.com/office/word/2010/wordprocessingShape">
                    <wps:wsp>
                      <wps:cNvSpPr/>
                      <wps:spPr>
                        <a:xfrm>
                          <a:off x="0" y="0"/>
                          <a:ext cx="5764680" cy="72460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6" w:name="_Toc455163726"/>
                            <w:r>
                              <w:rPr/>
                              <w:t xml:space="preserve">Figure </w:t>
                            </w:r>
                            <w:r>
                              <w:rPr/>
                              <w:fldChar w:fldCharType="begin"/>
                            </w:r>
                            <w:r>
                              <w:instrText> SEQ Figure \* ARABIC </w:instrText>
                            </w:r>
                            <w:r>
                              <w:fldChar w:fldCharType="separate"/>
                            </w:r>
                            <w:r>
                              <w:t>6</w:t>
                            </w:r>
                            <w:r>
                              <w:fldChar w:fldCharType="end"/>
                            </w:r>
                            <w:bookmarkEnd w:id="46"/>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85pt;height:570.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543550" cy="671703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7" w:name="_Toc455163726"/>
                      <w:r>
                        <w:rPr/>
                        <w:t xml:space="preserve">Figure </w:t>
                      </w:r>
                      <w:r>
                        <w:rPr/>
                        <w:fldChar w:fldCharType="begin"/>
                      </w:r>
                      <w:r>
                        <w:instrText> SEQ Figure \* ARABIC </w:instrText>
                      </w:r>
                      <w:r>
                        <w:fldChar w:fldCharType="separate"/>
                      </w:r>
                      <w:r>
                        <w:t>6</w:t>
                      </w:r>
                      <w:r>
                        <w:fldChar w:fldCharType="end"/>
                      </w:r>
                      <w:bookmarkEnd w:id="47"/>
                      <w:r>
                        <w:rPr/>
                        <w:t>: Performance of Hyperty messaging</w:t>
                      </w:r>
                    </w:p>
                  </w:txbxContent>
                </v:textbox>
              </v:rect>
            </w:pict>
          </mc:Fallback>
        </mc:AlternateContent>
      </w:r>
    </w:p>
    <w:p>
      <w:pPr>
        <w:pStyle w:val="Normal"/>
        <w:rPr/>
      </w:pPr>
      <w:r>
        <w:rPr/>
      </w:r>
    </w:p>
    <w:p>
      <w:pPr>
        <w:pStyle w:val="Normal"/>
        <w:rPr/>
      </w:pPr>
      <w:r>
        <w:rPr>
          <w:rFonts w:asciiTheme="minorHAnsi" w:hAnsiTheme="minorHAnsi"/>
        </w:rPr>
        <w:t xml:space="preserve">All 3 nodes have passed successfully all hyperty messaging performance tests. </w:t>
      </w:r>
    </w:p>
    <w:p>
      <w:pPr>
        <w:pStyle w:val="Normal"/>
        <w:rPr>
          <w:rFonts w:ascii="Calibri" w:hAnsi="Calibri" w:asciiTheme="minorHAnsi" w:hAnsiTheme="minorHAnsi"/>
        </w:rPr>
      </w:pPr>
      <w:r>
        <w:rPr>
          <w:rFonts w:asciiTheme="minorHAnsi" w:hAnsiTheme="minorHAnsi"/>
        </w:rPr>
        <w:t>The NoMatrix MN shows the best performance in all different runs while the NodeJS and Vertx node are on nearly the same level.</w:t>
      </w:r>
    </w:p>
    <w:p>
      <w:pPr>
        <w:pStyle w:val="Normal"/>
        <w:rPr>
          <w:b/>
          <w:b/>
          <w:bCs/>
          <w:i/>
          <w:i/>
          <w:iCs/>
        </w:rPr>
      </w:pPr>
      <w:r>
        <w:rPr>
          <w:b/>
          <w:bCs/>
          <w:i/>
          <w:iCs/>
        </w:rPr>
        <w:t>Object status update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5165" cy="6768465"/>
                <wp:effectExtent l="0" t="0" r="0" b="0"/>
                <wp:docPr id="26" name=""/>
                <a:graphic xmlns:a="http://schemas.openxmlformats.org/drawingml/2006/main">
                  <a:graphicData uri="http://schemas.microsoft.com/office/word/2010/wordprocessingShape">
                    <wps:wsp>
                      <wps:cNvSpPr/>
                      <wps:spPr>
                        <a:xfrm>
                          <a:off x="0" y="0"/>
                          <a:ext cx="5764680" cy="676800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764530" cy="650621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764530" cy="6506210"/>
                                          </a:xfrm>
                                          <a:prstGeom prst="rect">
                                            <a:avLst/>
                                          </a:prstGeom>
                                        </pic:spPr>
                                      </pic:pic>
                                    </a:graphicData>
                                  </a:graphic>
                                </wp:inline>
                              </w:drawing>
                            </w:r>
                          </w:p>
                          <w:p>
                            <w:pPr>
                              <w:pStyle w:val="Figure"/>
                              <w:spacing w:before="120" w:after="120"/>
                              <w:rPr/>
                            </w:pPr>
                            <w:bookmarkStart w:id="48" w:name="_Toc455163727"/>
                            <w:r>
                              <w:rPr/>
                              <w:t xml:space="preserve">Figure </w:t>
                            </w:r>
                            <w:r>
                              <w:rPr/>
                              <w:fldChar w:fldCharType="begin"/>
                            </w:r>
                            <w:r>
                              <w:instrText> SEQ Figure \* ARABIC </w:instrText>
                            </w:r>
                            <w:r>
                              <w:fldChar w:fldCharType="separate"/>
                            </w:r>
                            <w:r>
                              <w:t>7</w:t>
                            </w:r>
                            <w:r>
                              <w:fldChar w:fldCharType="end"/>
                            </w:r>
                            <w:bookmarkEnd w:id="48"/>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85pt;height:532.85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0" distR="0">
                            <wp:extent cx="5764530" cy="6506210"/>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764530" cy="6506210"/>
                                    </a:xfrm>
                                    <a:prstGeom prst="rect">
                                      <a:avLst/>
                                    </a:prstGeom>
                                  </pic:spPr>
                                </pic:pic>
                              </a:graphicData>
                            </a:graphic>
                          </wp:inline>
                        </w:drawing>
                      </w:r>
                    </w:p>
                    <w:p>
                      <w:pPr>
                        <w:pStyle w:val="Figure"/>
                        <w:spacing w:before="120" w:after="120"/>
                        <w:rPr/>
                      </w:pPr>
                      <w:bookmarkStart w:id="49" w:name="_Toc455163727"/>
                      <w:r>
                        <w:rPr/>
                        <w:t xml:space="preserve">Figure </w:t>
                      </w:r>
                      <w:r>
                        <w:rPr/>
                        <w:fldChar w:fldCharType="begin"/>
                      </w:r>
                      <w:r>
                        <w:instrText> SEQ Figure \* ARABIC </w:instrText>
                      </w:r>
                      <w:r>
                        <w:fldChar w:fldCharType="separate"/>
                      </w:r>
                      <w:r>
                        <w:t>7</w:t>
                      </w:r>
                      <w:r>
                        <w:fldChar w:fldCharType="end"/>
                      </w:r>
                      <w:bookmarkEnd w:id="49"/>
                      <w:r>
                        <w:rPr/>
                        <w:t>: Performance for object update messages to N subscribers</w:t>
                      </w:r>
                    </w:p>
                  </w:txbxContent>
                </v:textbox>
              </v:rect>
            </w:pict>
          </mc:Fallback>
        </mc:AlternateContent>
      </w:r>
    </w:p>
    <w:p>
      <w:pPr>
        <w:pStyle w:val="Normal"/>
        <w:rPr>
          <w:highlight w:val="yellow"/>
        </w:rPr>
      </w:pPr>
      <w:r>
        <w:rPr>
          <w:highlight w:val="yellow"/>
        </w:rPr>
      </w:r>
    </w:p>
    <w:p>
      <w:pPr>
        <w:pStyle w:val="Normal"/>
        <w:rPr>
          <w:rFonts w:ascii="Calibri" w:hAnsi="Calibri" w:asciiTheme="minorHAnsi" w:hAnsiTheme="minorHAnsi"/>
          <w:b/>
          <w:b/>
          <w:bCs/>
        </w:rPr>
      </w:pPr>
      <w:r>
        <w:rPr>
          <w:rFonts w:asciiTheme="minorHAnsi" w:hAnsiTheme="minorHAnsi"/>
          <w:b/>
          <w:bCs/>
        </w:rPr>
        <w:t>Note:</w:t>
      </w:r>
    </w:p>
    <w:p>
      <w:pPr>
        <w:pStyle w:val="Normal"/>
        <w:rPr>
          <w:rFonts w:ascii="Calibri" w:hAnsi="Calibri" w:asciiTheme="minorHAnsi" w:hAnsiTheme="minorHAnsi"/>
          <w:b w:val="false"/>
          <w:b w:val="false"/>
          <w:bCs w:val="false"/>
        </w:rPr>
      </w:pPr>
      <w:r>
        <w:rPr>
          <w:rFonts w:asciiTheme="minorHAnsi" w:hAnsiTheme="minorHAnsi"/>
          <w:b w:val="false"/>
          <w:bCs w:val="false"/>
        </w:rPr>
        <w:t>All tests with 1000 subscribers for a event were expected to fail for all 3 nodes. The reason is that the tests were performed using the karma testscripts inside of a google-chrome browser. Since the common browsers have resource limitations regarding the parallel established of outgoing connections, the tests with 1000 subscribers were inhibited. The empirical limit for parallel connections was found around 250.</w:t>
      </w:r>
    </w:p>
    <w:p>
      <w:pPr>
        <w:pStyle w:val="Normal"/>
        <w:rPr>
          <w:rFonts w:ascii="Calibri" w:hAnsi="Calibri" w:asciiTheme="minorHAnsi" w:hAnsiTheme="minorHAnsi"/>
          <w:b w:val="false"/>
          <w:b w:val="false"/>
          <w:bCs w:val="false"/>
        </w:rPr>
      </w:pPr>
      <w:r>
        <w:rPr>
          <w:rFonts w:asciiTheme="minorHAnsi" w:hAnsiTheme="minorHAnsi"/>
          <w:b w:val="false"/>
          <w:bCs w:val="false"/>
        </w:rPr>
      </w:r>
    </w:p>
    <w:p>
      <w:pPr>
        <w:pStyle w:val="Normal"/>
        <w:rPr>
          <w:rFonts w:ascii="Calibri" w:hAnsi="Calibri" w:asciiTheme="minorHAnsi" w:hAnsiTheme="minorHAnsi"/>
        </w:rPr>
      </w:pPr>
      <w:r>
        <w:rPr>
          <w:rFonts w:asciiTheme="minorHAnsi" w:hAnsiTheme="minorHAnsi"/>
        </w:rPr>
        <w:t>The NoMatrix and the NodeJS MNs have passed all tests with 100 and 200 subscribers and, as expected, failed for 1000 parallel subscribers due to the mentioned browser limitations. The NoMatrix node performed conspicuously faster than the NodeJS node.</w:t>
      </w:r>
    </w:p>
    <w:p>
      <w:pPr>
        <w:pStyle w:val="Normal"/>
        <w:rPr>
          <w:rFonts w:ascii="Calibri" w:hAnsi="Calibri" w:asciiTheme="minorHAnsi" w:hAnsiTheme="minorHAnsi"/>
        </w:rPr>
      </w:pPr>
      <w:r>
        <w:rPr>
          <w:rFonts w:asciiTheme="minorHAnsi" w:hAnsiTheme="minorHAnsi"/>
        </w:rPr>
        <w:t xml:space="preserve">The Vertx node has passed the tests with 100 but not with 200 subscribers. The reason for the failure was that not all subscribers received an event notification when an object update was performed. Variying numbers between 4 and 9 events got lost. Since the tests count only successful when all subscribers receive the update notifications the test failed. The issue has been reported and the reason for these lost events was still under investigation by the component owner at the time of the test documentation. </w:t>
      </w:r>
    </w:p>
    <w:p>
      <w:pPr>
        <w:pStyle w:val="Normal"/>
        <w:rPr>
          <w:rFonts w:ascii="Calibri" w:hAnsi="Calibri" w:asciiTheme="minorHAnsi" w:hAnsiTheme="minorHAnsi"/>
        </w:rPr>
      </w:pPr>
      <w:r>
        <w:rPr>
          <w:rFonts w:asciiTheme="minorHAnsi" w:hAnsiTheme="minorHAnsi"/>
        </w:rPr>
      </w:r>
    </w:p>
    <w:p>
      <w:pPr>
        <w:pStyle w:val="Berschrift4"/>
        <w:numPr>
          <w:ilvl w:val="3"/>
          <w:numId w:val="3"/>
        </w:numPr>
        <w:rPr>
          <w:highlight w:val="yellow"/>
        </w:rPr>
      </w:pPr>
      <w:r>
        <w:rPr/>
        <w:t>MN Assessment conclusions and recommendations</w:t>
      </w:r>
    </w:p>
    <w:p>
      <w:pPr>
        <w:pStyle w:val="Normal"/>
        <w:rPr/>
      </w:pPr>
      <w:r>
        <w:rPr/>
        <w:t>The tests have shown that the NoMatrix MN can be recommended as the “all purpose” MN, passing all mandatory conformance- and performance- tests and providing the best performance in most of the cases.</w:t>
      </w:r>
    </w:p>
    <w:p>
      <w:pPr>
        <w:pStyle w:val="Normal"/>
        <w:rPr/>
      </w:pPr>
      <w:r>
        <w:rPr/>
        <w:t>The Vertx MN is passing all conformance- and most of the performance- tests. It is the standard MN for most of the applied testbeds in reTHINK and has proven its reliability in the daily work. The lost events for very high numbers of subscribers for updates on a data object seem to have a rather low relevance in the real life operation, according to the practical experiences. Nevertheless they indicate a potential problem in the routing engine that must be investigated.</w:t>
      </w:r>
    </w:p>
    <w:p>
      <w:pPr>
        <w:pStyle w:val="Normal"/>
        <w:rPr/>
      </w:pPr>
      <w:r>
        <w:rPr/>
        <w:t>The NodeJS MN is showing very good performance results but it is failing in the tests for the domain-registry interaction, which are crucial for the use of the MN in a testbed. These failures can be fixed by the proper integration of the latest RegistryConnector version. If this is done the NodeJS MN is a good option for the operation of a reTHINK testbed.</w:t>
      </w:r>
    </w:p>
    <w:p>
      <w:pPr>
        <w:pStyle w:val="Normal"/>
        <w:rPr>
          <w:highlight w:val="yellow"/>
        </w:rPr>
      </w:pPr>
      <w:r>
        <w:rPr>
          <w:highlight w:val="yellow"/>
        </w:rPr>
      </w:r>
    </w:p>
    <w:p>
      <w:pPr>
        <w:pStyle w:val="Berschrift2"/>
        <w:numPr>
          <w:ilvl w:val="1"/>
          <w:numId w:val="3"/>
        </w:numPr>
        <w:rPr/>
      </w:pPr>
      <w:r>
        <w:rPr/>
      </w:r>
    </w:p>
    <w:p>
      <w:pPr>
        <w:pStyle w:val="Berschrift1"/>
        <w:numPr>
          <w:ilvl w:val="0"/>
          <w:numId w:val="3"/>
        </w:numPr>
        <w:rPr>
          <w:lang w:val="en-US"/>
        </w:rPr>
      </w:pPr>
      <w:bookmarkStart w:id="50" w:name="objectives-and-overview"/>
      <w:bookmarkStart w:id="51" w:name="_Toc455163710"/>
      <w:bookmarkStart w:id="52" w:name="cordova-vs-phonegap"/>
      <w:bookmarkStart w:id="53" w:name="what-is-apirtc"/>
      <w:bookmarkStart w:id="54" w:name="requirements"/>
      <w:bookmarkEnd w:id="50"/>
      <w:bookmarkEnd w:id="51"/>
      <w:bookmarkEnd w:id="52"/>
      <w:bookmarkEnd w:id="53"/>
      <w:bookmarkEnd w:id="54"/>
      <w:r>
        <w:rPr>
          <w:lang w:val="en-US"/>
        </w:rPr>
        <w:t>References</w:t>
      </w:r>
    </w:p>
    <w:p>
      <w:pPr>
        <w:pStyle w:val="Reference"/>
        <w:numPr>
          <w:ilvl w:val="0"/>
          <w:numId w:val="4"/>
        </w:numPr>
        <w:rPr/>
      </w:pPr>
      <w:bookmarkStart w:id="55" w:name="_Ref443156199"/>
      <w:bookmarkEnd w:id="55"/>
      <w:r>
        <w:rPr/>
        <w:t>Deliverable D2.1, “Framework Architecture Definition”, 31-07-2015.</w:t>
      </w:r>
    </w:p>
    <w:p>
      <w:pPr>
        <w:pStyle w:val="Reference"/>
        <w:numPr>
          <w:ilvl w:val="0"/>
          <w:numId w:val="4"/>
        </w:numPr>
        <w:rPr/>
      </w:pPr>
      <w:bookmarkStart w:id="56" w:name="_Ref443156201"/>
      <w:bookmarkEnd w:id="56"/>
      <w:r>
        <w:rPr/>
        <w:t>Deliverable D2.2, “Data Models and Interface Specification of the Framework ”, 30-08-2015</w:t>
      </w:r>
    </w:p>
    <w:p>
      <w:pPr>
        <w:pStyle w:val="Reference"/>
        <w:numPr>
          <w:ilvl w:val="0"/>
          <w:numId w:val="4"/>
        </w:numPr>
        <w:rPr/>
      </w:pPr>
      <w:bookmarkStart w:id="57" w:name="_Ref443156202"/>
      <w:bookmarkEnd w:id="57"/>
      <w:r>
        <w:rPr/>
        <w:t>Deliverable D3.1, “Hyperty-Runtime-and-Hyperty-Messaging-Node-Specification”, 30-09-2015.</w:t>
      </w:r>
    </w:p>
    <w:p>
      <w:pPr>
        <w:pStyle w:val="Reference"/>
        <w:numPr>
          <w:ilvl w:val="0"/>
          <w:numId w:val="4"/>
        </w:numPr>
        <w:rPr/>
      </w:pPr>
      <w:bookmarkStart w:id="58" w:name="_Ref454385395"/>
      <w:bookmarkEnd w:id="58"/>
      <w:r>
        <w:rPr/>
        <w:t>Deliverable D4.1, “Management and Security features specifications”, 30-09-2015.</w:t>
      </w:r>
    </w:p>
    <w:p>
      <w:pPr>
        <w:pStyle w:val="Reference"/>
        <w:numPr>
          <w:ilvl w:val="0"/>
          <w:numId w:val="4"/>
        </w:numPr>
        <w:rPr/>
      </w:pPr>
      <w:bookmarkStart w:id="59" w:name="_Ref443156203"/>
      <w:bookmarkStart w:id="60" w:name="_Ref454263914"/>
      <w:bookmarkEnd w:id="59"/>
      <w:bookmarkEnd w:id="60"/>
      <w:r>
        <w:rPr/>
        <w:t>Deliverable D3.2, “Hyperty Runtime and Hyperty Message Node Phase 1”, 29-02-2016.</w:t>
      </w:r>
    </w:p>
    <w:p>
      <w:pPr>
        <w:pStyle w:val="Reference"/>
        <w:numPr>
          <w:ilvl w:val="0"/>
          <w:numId w:val="4"/>
        </w:numPr>
        <w:rPr/>
      </w:pPr>
      <w:bookmarkStart w:id="61" w:name="_Ref4431562031"/>
      <w:bookmarkStart w:id="62" w:name="_Ref454263917"/>
      <w:bookmarkEnd w:id="61"/>
      <w:bookmarkEnd w:id="62"/>
      <w:r>
        <w:rPr/>
        <w:t>Deliverable D4.2, “Implementation of Governance and identity management components for phase 1”, 29-02-2016.</w:t>
      </w:r>
    </w:p>
    <w:p>
      <w:pPr>
        <w:pStyle w:val="Reference"/>
        <w:numPr>
          <w:ilvl w:val="0"/>
          <w:numId w:val="4"/>
        </w:numPr>
        <w:rPr/>
      </w:pPr>
      <w:bookmarkStart w:id="63" w:name="_Ref454263951"/>
      <w:bookmarkEnd w:id="63"/>
      <w:r>
        <w:rPr/>
        <w:t>Deliverable D5.1, “Service Scenarios Specification”, 29-12-2015.</w:t>
      </w:r>
    </w:p>
    <w:p>
      <w:pPr>
        <w:pStyle w:val="Reference"/>
        <w:numPr>
          <w:ilvl w:val="0"/>
          <w:numId w:val="4"/>
        </w:numPr>
        <w:rPr/>
      </w:pPr>
      <w:bookmarkStart w:id="64" w:name="_Ref454263960"/>
      <w:bookmarkEnd w:id="64"/>
      <w:r>
        <w:rPr/>
        <w:t>Deliverable D5.2, “Initial Hyperties and Service Scenarios implementation”, 29-06-2016.</w:t>
      </w:r>
    </w:p>
    <w:p>
      <w:pPr>
        <w:pStyle w:val="Reference"/>
        <w:numPr>
          <w:ilvl w:val="0"/>
          <w:numId w:val="4"/>
        </w:numPr>
        <w:rPr/>
      </w:pPr>
      <w:r>
        <w:rPr>
          <w:lang w:val="en-US"/>
        </w:rPr>
        <w:t xml:space="preserve"> </w:t>
      </w:r>
      <w:bookmarkStart w:id="65" w:name="_Ref454263981"/>
      <w:bookmarkEnd w:id="65"/>
      <w:r>
        <w:rPr/>
        <w:t>Deliverable D6.1, “Initial Hyperties and Service Scenarios implementation”, 29-06-2016.</w:t>
      </w:r>
    </w:p>
    <w:p>
      <w:pPr>
        <w:pStyle w:val="Reference"/>
        <w:numPr>
          <w:ilvl w:val="0"/>
          <w:numId w:val="4"/>
        </w:numPr>
        <w:rPr/>
      </w:pPr>
      <w:bookmarkStart w:id="66" w:name="_Ref454801163"/>
      <w:bookmarkEnd w:id="66"/>
      <w:r>
        <w:rPr/>
        <w:t>Karma testing tool, https://karma-runner.github.io/1.0/index.html; last accessed June 2016.</w:t>
      </w:r>
    </w:p>
    <w:p>
      <w:pPr>
        <w:pStyle w:val="Reference"/>
        <w:numPr>
          <w:ilvl w:val="0"/>
          <w:numId w:val="4"/>
        </w:numPr>
        <w:rPr/>
      </w:pPr>
      <w:bookmarkStart w:id="67" w:name="_Ref454265715"/>
      <w:r>
        <w:rPr/>
        <w:t xml:space="preserve">Registration Message specification, </w:t>
      </w:r>
      <w:hyperlink r:id="rId13">
        <w:r>
          <w:rPr>
            <w:webHidden/>
            <w:rStyle w:val="Internetlink"/>
            <w:vanish/>
          </w:rPr>
          <w:t>https://github.com/reTHINK-project/dev-service-framework/blob/master/docs/specs/messages/registration-messages.md</w:t>
        </w:r>
      </w:hyperlink>
      <w:bookmarkEnd w:id="67"/>
      <w:r>
        <w:rPr/>
        <w:t>; last accessed June 2016.</w:t>
      </w:r>
    </w:p>
    <w:p>
      <w:pPr>
        <w:pStyle w:val="Reference"/>
        <w:numPr>
          <w:ilvl w:val="0"/>
          <w:numId w:val="4"/>
        </w:numPr>
        <w:rPr/>
      </w:pPr>
      <w:bookmarkStart w:id="68" w:name="_Ref454266651"/>
      <w:r>
        <w:rPr/>
        <w:t xml:space="preserve">Hello World Hyperty, </w:t>
      </w:r>
      <w:hyperlink r:id="rId14">
        <w:r>
          <w:rPr>
            <w:webHidden/>
            <w:rStyle w:val="Internetlink"/>
            <w:vanish/>
          </w:rPr>
          <w:t>https://github.com/reTHINK-project/dev-hyperty/tree/master/src/hello-world</w:t>
        </w:r>
      </w:hyperlink>
      <w:bookmarkEnd w:id="68"/>
      <w:r>
        <w:rPr/>
        <w:t>; last accessed June 2016.</w:t>
      </w:r>
    </w:p>
    <w:p>
      <w:pPr>
        <w:pStyle w:val="Reference"/>
        <w:numPr>
          <w:ilvl w:val="0"/>
          <w:numId w:val="4"/>
        </w:numPr>
        <w:rPr/>
      </w:pPr>
      <w:bookmarkStart w:id="69" w:name="_Ref454384052"/>
      <w:r>
        <w:rPr/>
        <w:t xml:space="preserve">Messages Specification: </w:t>
      </w:r>
      <w:hyperlink r:id="rId15">
        <w:r>
          <w:rPr>
            <w:webHidden/>
            <w:rStyle w:val="Internetlink"/>
            <w:vanish/>
          </w:rPr>
          <w:t>https://github.com/reTHINK-project/dev-service-framework/tree/master/docs/specs/messages</w:t>
        </w:r>
      </w:hyperlink>
      <w:bookmarkEnd w:id="69"/>
      <w:r>
        <w:rPr/>
        <w:t>; last accessed June 2016.</w:t>
      </w:r>
    </w:p>
    <w:p>
      <w:pPr>
        <w:pStyle w:val="Reference"/>
        <w:numPr>
          <w:ilvl w:val="0"/>
          <w:numId w:val="4"/>
        </w:numPr>
        <w:rPr/>
      </w:pPr>
      <w:bookmarkStart w:id="70"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vanish/>
            <w:color w:val="4078C0"/>
            <w:sz w:val="20"/>
            <w:szCs w:val="20"/>
          </w:rPr>
          <w:t>https://github.com/menavaur/Autobench</w:t>
        </w:r>
      </w:hyperlink>
      <w:bookmarkEnd w:id="70"/>
      <w:r>
        <w:rPr/>
        <w:t>; last accessed June 2016.</w:t>
      </w:r>
    </w:p>
    <w:p>
      <w:pPr>
        <w:pStyle w:val="Reference"/>
        <w:numPr>
          <w:ilvl w:val="0"/>
          <w:numId w:val="4"/>
        </w:numPr>
        <w:rPr/>
      </w:pPr>
      <w:bookmarkStart w:id="71" w:name="_Ref454387028"/>
      <w:r>
        <w:rPr/>
        <w:t>Httperf GitHub Repository. Available online: </w:t>
      </w:r>
      <w:hyperlink r:id="rId17">
        <w:r>
          <w:rPr>
            <w:webHidden/>
            <w:rStyle w:val="Internetlink"/>
            <w:vanish/>
          </w:rPr>
          <w:t>https://github.com/httperf/httperf</w:t>
        </w:r>
      </w:hyperlink>
      <w:bookmarkEnd w:id="71"/>
      <w:r>
        <w:rPr/>
        <w:t>; last accessed June 2016.</w:t>
      </w:r>
    </w:p>
    <w:p>
      <w:pPr>
        <w:pStyle w:val="Reference"/>
        <w:numPr>
          <w:ilvl w:val="0"/>
          <w:numId w:val="4"/>
        </w:numPr>
        <w:rPr/>
      </w:pPr>
      <w:bookmarkStart w:id="72" w:name="_Ref454804795"/>
      <w:r>
        <w:rPr/>
        <w:t>Httperf Man Page. Available online: </w:t>
      </w:r>
      <w:hyperlink r:id="rId18">
        <w:r>
          <w:rPr>
            <w:webHidden/>
            <w:rStyle w:val="Internetlink"/>
            <w:vanish/>
          </w:rPr>
          <w:t>http://www.labs.hpe.com/research/linux/httperf/httperf-man-0.9.ps</w:t>
        </w:r>
      </w:hyperlink>
      <w:bookmarkEnd w:id="72"/>
      <w:r>
        <w:rPr/>
        <w:t>; last accessed June 2016.</w:t>
      </w:r>
    </w:p>
    <w:p>
      <w:pPr>
        <w:pStyle w:val="Reference"/>
        <w:numPr>
          <w:ilvl w:val="0"/>
          <w:numId w:val="4"/>
        </w:numPr>
        <w:rPr/>
      </w:pPr>
      <w:bookmarkStart w:id="73" w:name="_Ref454386833"/>
      <w:r>
        <w:rPr/>
        <w:t xml:space="preserve">WebRTC Security architecture, </w:t>
      </w:r>
      <w:hyperlink r:id="rId19">
        <w:r>
          <w:rPr>
            <w:webHidden/>
            <w:rStyle w:val="Internetlink"/>
            <w:vanish/>
          </w:rPr>
          <w:t>https://tools.ietf.org/html/draft-ietf-rtcweb-security-arch-12</w:t>
        </w:r>
      </w:hyperlink>
      <w:bookmarkEnd w:id="73"/>
      <w:r>
        <w:rPr/>
        <w:t>; last accessed June 2016.</w:t>
      </w:r>
    </w:p>
    <w:p>
      <w:pPr>
        <w:pStyle w:val="Reference"/>
        <w:numPr>
          <w:ilvl w:val="0"/>
          <w:numId w:val="4"/>
        </w:numPr>
        <w:rPr/>
      </w:pPr>
      <w:hyperlink r:id="rId20">
        <w:bookmarkStart w:id="74" w:name="_Ref454393841"/>
        <w:r>
          <w:rPr>
            <w:webHidden/>
            <w:rStyle w:val="Internetlink"/>
            <w:vanish/>
          </w:rPr>
          <w:t>Domain Registry user manual</w:t>
        </w:r>
      </w:hyperlink>
      <w:r>
        <w:rPr/>
        <w:t xml:space="preserve">, </w:t>
      </w:r>
      <w:hyperlink r:id="rId21">
        <w:r>
          <w:rPr>
            <w:webHidden/>
            <w:rStyle w:val="Internetlink"/>
            <w:vanish/>
          </w:rPr>
          <w:t>https://github.com/reTHINK-project/dev-registry-domain/blob/master/docs/DomainRegistryUserManual.md</w:t>
        </w:r>
      </w:hyperlink>
      <w:bookmarkEnd w:id="74"/>
      <w:r>
        <w:rPr/>
        <w:t>; last accessed June 2016.</w:t>
      </w:r>
    </w:p>
    <w:p>
      <w:pPr>
        <w:pStyle w:val="Reference"/>
        <w:numPr>
          <w:ilvl w:val="0"/>
          <w:numId w:val="4"/>
        </w:numPr>
        <w:rPr/>
      </w:pPr>
      <w:hyperlink r:id="rId22">
        <w:bookmarkStart w:id="75" w:name="_Ref454394048"/>
        <w:r>
          <w:rPr>
            <w:webHidden/>
            <w:rStyle w:val="Internetlink"/>
            <w:vanish/>
          </w:rPr>
          <w:t>HAProxy</w:t>
        </w:r>
      </w:hyperlink>
      <w:bookmarkEnd w:id="75"/>
      <w:r>
        <w:rPr/>
        <w:t xml:space="preserve"> GitHub Repository. Available online: http://www.haproxy.org/; last accessed June 2016.</w:t>
      </w:r>
    </w:p>
    <w:p>
      <w:pPr>
        <w:pStyle w:val="Reference"/>
        <w:numPr>
          <w:ilvl w:val="0"/>
          <w:numId w:val="4"/>
        </w:numPr>
        <w:rPr/>
      </w:pPr>
      <w:bookmarkStart w:id="76" w:name="_Ref454394123"/>
      <w:bookmarkEnd w:id="76"/>
      <w:r>
        <w:rPr/>
        <w:t>Apache Cassandra site. Available online: http://cassandra.apache.org/; last accessed June 2016.</w:t>
      </w:r>
    </w:p>
    <w:p>
      <w:pPr>
        <w:pStyle w:val="Reference"/>
        <w:numPr>
          <w:ilvl w:val="0"/>
          <w:numId w:val="4"/>
        </w:numPr>
        <w:rPr/>
      </w:pPr>
      <w:bookmarkStart w:id="77" w:name="_Ref454394553"/>
      <w:r>
        <w:rPr/>
        <w:t xml:space="preserve">agmoyano/OpenIDConnect GitHub Repository. Available online: </w:t>
      </w:r>
      <w:hyperlink r:id="rId23">
        <w:r>
          <w:rPr>
            <w:webHidden/>
            <w:rStyle w:val="Internetlink"/>
            <w:vanish/>
          </w:rPr>
          <w:t>https://github.com/agmoyano/OpenIDConnect</w:t>
        </w:r>
      </w:hyperlink>
      <w:bookmarkEnd w:id="77"/>
      <w:r>
        <w:rPr/>
        <w:t>; last accessed June 2016.</w:t>
      </w:r>
    </w:p>
    <w:p>
      <w:pPr>
        <w:pStyle w:val="Reference"/>
        <w:numPr>
          <w:ilvl w:val="0"/>
          <w:numId w:val="4"/>
        </w:numPr>
        <w:rPr/>
      </w:pPr>
      <w:bookmarkStart w:id="78" w:name="_Ref454394652"/>
      <w:r>
        <w:rPr/>
        <w:t xml:space="preserve">PhPOIDC Bitbucket Repository. Available online: </w:t>
      </w:r>
      <w:hyperlink r:id="rId24">
        <w:r>
          <w:rPr>
            <w:webHidden/>
            <w:rStyle w:val="Internetlink"/>
            <w:vanish/>
          </w:rPr>
          <w:t>https://bitbucket.org/PEOFIAMP/phpoidc</w:t>
        </w:r>
      </w:hyperlink>
      <w:bookmarkEnd w:id="78"/>
      <w:r>
        <w:rPr/>
        <w:t xml:space="preserve"> ; last accessed June 2016.</w:t>
      </w:r>
    </w:p>
    <w:p>
      <w:pPr>
        <w:pStyle w:val="Normal"/>
        <w:rPr>
          <w:lang w:val="en-US"/>
        </w:rPr>
      </w:pPr>
      <w:r>
        <w:rPr>
          <w:lang w:val="en-US"/>
        </w:rPr>
      </w:r>
    </w:p>
    <w:p>
      <w:pPr>
        <w:pStyle w:val="Annex1"/>
        <w:numPr>
          <w:ilvl w:val="0"/>
          <w:numId w:val="2"/>
        </w:numPr>
        <w:rPr>
          <w:lang w:val="en-US"/>
        </w:rPr>
      </w:pPr>
      <w:bookmarkStart w:id="79" w:name="_Toc455163711"/>
      <w:bookmarkEnd w:id="79"/>
      <w:r>
        <w:rPr>
          <w:lang w:val="en-US"/>
        </w:rPr>
        <w:t>Message Node detailed tests results</w:t>
      </w:r>
    </w:p>
    <w:p>
      <w:pPr>
        <w:pStyle w:val="Annex2"/>
        <w:numPr>
          <w:ilvl w:val="1"/>
          <w:numId w:val="2"/>
        </w:numPr>
        <w:rPr/>
      </w:pPr>
      <w:bookmarkStart w:id="80" w:name="_Toc455163712"/>
      <w:bookmarkEnd w:id="80"/>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81" w:name="_Toc455163713"/>
      <w:bookmarkEnd w:id="81"/>
      <w:r>
        <w:rPr/>
        <w:t>Vertx conformance tests</w:t>
      </w:r>
    </w:p>
    <w:p>
      <w:pPr>
        <w:pStyle w:val="Normal"/>
        <w:rPr>
          <w:b/>
          <w:b/>
          <w:bCs/>
        </w:rPr>
      </w:pPr>
      <w:r>
        <w:rPr>
          <w:b/>
          <w:bCs/>
        </w:rPr>
        <w:t>1. Stub Connection and Disconnection</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bookmarkStart w:id="82" w:name="__DdeLink__14015_209721956"/>
            <w:bookmarkEnd w:id="82"/>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b/>
          <w:b/>
          <w:bCs/>
        </w:rPr>
      </w:pPr>
      <w:r>
        <w:rPr>
          <w:b/>
          <w:bCs/>
        </w:rPr>
      </w:r>
    </w:p>
    <w:p>
      <w:pPr>
        <w:pStyle w:val="Textkrper"/>
        <w:rPr/>
      </w:pPr>
      <w:r>
        <w:rPr/>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t>Expected behavior,</w:t>
            </w:r>
          </w:p>
          <w:p>
            <w:pPr>
              <w:pStyle w:val="TabellenInhalt"/>
              <w:spacing w:before="120" w:after="120"/>
              <w:jc w:val="left"/>
              <w:rPr/>
            </w:pPr>
            <w:r>
              <w:rPr/>
              <w:t>Not implemented by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3" w:name="_Toc455163714"/>
      <w:bookmarkEnd w:id="83"/>
      <w:r>
        <w:rPr/>
        <w:t>Vertx performance tests</w:t>
      </w:r>
    </w:p>
    <w:p>
      <w:pPr>
        <w:pStyle w:val="Normal"/>
        <w:rPr>
          <w:b/>
          <w:b/>
          <w:bCs/>
        </w:rPr>
      </w:pPr>
      <w:r>
        <w:rPr>
          <w:b/>
          <w:bCs/>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1917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16338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1473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12983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299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2830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15990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2394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13380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219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1688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16389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1428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13097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1595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16055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13314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1606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16370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1403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13342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167</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1648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16187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172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1302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13118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216</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1683</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14932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225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1788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14533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310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2232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19213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352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5 Lost Events in 200 iterations run;</w:t>
            </w:r>
          </w:p>
          <w:p>
            <w:pPr>
              <w:pStyle w:val="TabellenInhalt"/>
              <w:spacing w:before="120" w:after="120"/>
              <w:jc w:val="center"/>
              <w:rPr/>
            </w:pPr>
            <w:r>
              <w:rPr/>
              <w:t xml:space="preserve">Failure with 1000 iterations due to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434</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2-5 Lost Events in 200 iterations run;</w:t>
            </w:r>
          </w:p>
          <w:p>
            <w:pPr>
              <w:pStyle w:val="TabellenInhalt"/>
              <w:spacing w:before="120" w:after="120"/>
              <w:jc w:val="center"/>
              <w:rPr/>
            </w:pPr>
            <w:r>
              <w:rPr/>
              <w:t>Failure with 1000 iterations due to Limited Websocket resources in browser</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391</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3-5 Lost Events in 200 iterations run;</w:t>
            </w:r>
          </w:p>
          <w:p>
            <w:pPr>
              <w:pStyle w:val="TabellenInhalt"/>
              <w:spacing w:before="120" w:after="120"/>
              <w:jc w:val="center"/>
              <w:rPr/>
            </w:pPr>
            <w:r>
              <w:rPr/>
              <w:t xml:space="preserve">Failure with 1000 iterations due to Limited Websocket resources in browser </w:t>
            </w:r>
          </w:p>
        </w:tc>
      </w:tr>
    </w:tbl>
    <w:p>
      <w:pPr>
        <w:pStyle w:val="Normal"/>
        <w:rPr/>
      </w:pPr>
      <w:r>
        <w:rPr/>
      </w:r>
    </w:p>
    <w:p>
      <w:pPr>
        <w:pStyle w:val="Annex2"/>
        <w:numPr>
          <w:ilvl w:val="1"/>
          <w:numId w:val="2"/>
        </w:numPr>
        <w:rPr/>
      </w:pPr>
      <w:bookmarkStart w:id="84" w:name="_Toc455163715"/>
      <w:bookmarkEnd w:id="84"/>
      <w:r>
        <w:rPr/>
        <w:t>NoMatrix Tests</w:t>
      </w:r>
    </w:p>
    <w:p>
      <w:pPr>
        <w:pStyle w:val="Normal"/>
        <w:rPr/>
      </w:pPr>
      <w:r>
        <w:rPr/>
        <w:t xml:space="preserve">The NoMatrix MN was deployed and configured as a docker container according to the descriptions at </w:t>
      </w:r>
      <w:hyperlink r:id="rId25">
        <w:r>
          <w:rPr>
            <w:webHidden/>
            <w:rStyle w:val="Internetlink"/>
            <w:vanish/>
          </w:rPr>
          <w:t>https://github.com/reTHINK-project/dev-msg-node-</w:t>
        </w:r>
        <w:r>
          <w:rPr>
            <w:rStyle w:val="Internetlink"/>
          </w:rPr>
          <w:t>nomatrix</w:t>
        </w:r>
      </w:hyperlink>
      <w:r>
        <w:rPr/>
        <w:t>.</w:t>
      </w:r>
    </w:p>
    <w:p>
      <w:pPr>
        <w:pStyle w:val="Annex3"/>
        <w:numPr>
          <w:ilvl w:val="2"/>
          <w:numId w:val="2"/>
        </w:numPr>
        <w:rPr/>
      </w:pPr>
      <w:bookmarkStart w:id="85" w:name="_Toc455163716"/>
      <w:bookmarkEnd w:id="85"/>
      <w:r>
        <w:rPr/>
        <w:t>NoMatrix conformance tests</w:t>
      </w:r>
    </w:p>
    <w:p>
      <w:pPr>
        <w:pStyle w:val="Normal"/>
        <w:rPr/>
      </w:pPr>
      <w:r>
        <w:rPr>
          <w:b/>
          <w:bCs/>
        </w:rPr>
        <w:t>1. Stub Connection and Disconnection</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bookmarkStart w:id="86" w:name="__DdeLink__4654_2145191399"/>
            <w:r>
              <w:rPr/>
              <w:t>Expected behavior,</w:t>
            </w:r>
          </w:p>
          <w:p>
            <w:pPr>
              <w:pStyle w:val="TabellenInhalt"/>
              <w:spacing w:before="120" w:after="120"/>
              <w:jc w:val="left"/>
              <w:rPr/>
            </w:pPr>
            <w:bookmarkStart w:id="87" w:name="__DdeLink__4654_2145191399"/>
            <w:bookmarkEnd w:id="87"/>
            <w:r>
              <w:rPr/>
              <w:t>Not implemented 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8" w:name="_Toc455163717"/>
      <w:bookmarkEnd w:id="88"/>
      <w:r>
        <w:rPr/>
        <w:t>NoMatrix performance tests</w:t>
      </w:r>
    </w:p>
    <w:p>
      <w:pPr>
        <w:pStyle w:val="Normal"/>
        <w:rPr>
          <w:b/>
          <w:b/>
          <w:bCs/>
        </w:rPr>
      </w:pPr>
      <w:r>
        <w:rPr>
          <w:b/>
          <w:bCs/>
        </w:rPr>
        <w:t>1. Allocate /de-allocate Hyperty addresses</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175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1572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15847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12646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181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15835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1368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13348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1586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15711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1349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13454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15077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1246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12487</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1520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14918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13561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1498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15149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1322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13492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12731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1340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13158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172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16431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193</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358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 xml:space="preserve">Expected,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188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384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197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374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89" w:name="_Toc455163718"/>
      <w:r>
        <w:rPr/>
        <w:t>NodeJS Tests</w:t>
      </w:r>
      <w:bookmarkEnd w:id="89"/>
      <w:r>
        <w:rPr/>
        <w:t xml:space="preserve"> </w:t>
      </w:r>
    </w:p>
    <w:p>
      <w:pPr>
        <w:pStyle w:val="Normal"/>
        <w:rPr/>
      </w:pPr>
      <w:r>
        <w:rPr/>
        <w:t xml:space="preserve">The NodeJS MN was deployed and configured as a docker container according to the descriptions at </w:t>
      </w:r>
      <w:hyperlink r:id="rId26">
        <w:r>
          <w:rPr>
            <w:webHidden/>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90" w:name="_Toc455163719"/>
      <w:bookmarkEnd w:id="90"/>
      <w:r>
        <w:rPr/>
        <w:t>Nodejs conformance tests</w:t>
      </w:r>
    </w:p>
    <w:p>
      <w:pPr>
        <w:pStyle w:val="Normal"/>
        <w:rPr/>
      </w:pPr>
      <w:r>
        <w:rPr>
          <w:b/>
          <w:bCs/>
        </w:rPr>
        <w:t>1. Stub Connection and Disconnection</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rFonts w:ascii="Calibri" w:hAnsi="Calibri" w:eastAsia="Batang" w:cs="Times New Roman"/>
                <w:b/>
                <w:b/>
                <w:bCs/>
                <w:color w:val="009900"/>
                <w:sz w:val="22"/>
                <w:szCs w:val="24"/>
                <w:lang w:val="en-GB" w:eastAsia="ko-KR" w:bidi="ar-SA"/>
              </w:rPr>
            </w:pPr>
            <w:r>
              <w:rPr>
                <w:rFonts w:eastAsia="Batang" w:cs="Times New Roman"/>
                <w:b/>
                <w:bCs/>
                <w:color w:val="009900"/>
                <w:sz w:val="22"/>
                <w:szCs w:val="24"/>
                <w:lang w:val="en-GB" w:eastAsia="ko-KR" w:bidi="ar-SA"/>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The NodeJS MN seems to use an outdated version of the RegistryConnector, which causes errors during the parsing process of messages. During the tests this did lead to crashes of the NodeJS MN and therefore all related tests failed.</w:t>
      </w:r>
    </w:p>
    <w:tbl>
      <w:tblPr>
        <w:tblW w:w="907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t>Expected behavior,</w:t>
            </w:r>
          </w:p>
          <w:p>
            <w:pPr>
              <w:pStyle w:val="TabellenInhalt"/>
              <w:spacing w:before="120" w:after="120"/>
              <w:jc w:val="left"/>
              <w:rPr/>
            </w:pPr>
            <w:r>
              <w:rPr/>
              <w:t>Not implemented in RegistryConnector</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left"/>
              <w:rPr/>
            </w:pPr>
            <w:r>
              <w:rPr/>
            </w:r>
          </w:p>
        </w:tc>
      </w:tr>
    </w:tbl>
    <w:p>
      <w:pPr>
        <w:pStyle w:val="Annex3"/>
        <w:numPr>
          <w:ilvl w:val="2"/>
          <w:numId w:val="2"/>
        </w:numPr>
        <w:rPr/>
      </w:pPr>
      <w:bookmarkStart w:id="91" w:name="_Toc455163720"/>
      <w:bookmarkEnd w:id="91"/>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18551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2218</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2547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18802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15074</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18709</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14496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6"/>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1k</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10k</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242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16915</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1392</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14156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1715</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16908</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1379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13611</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1754</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16672</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13286</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270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1557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14493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185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1616</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15853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267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2227</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t>22393</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20"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501"/>
        <w:gridCol w:w="3098"/>
        <w:gridCol w:w="945"/>
        <w:gridCol w:w="867"/>
        <w:gridCol w:w="822"/>
        <w:gridCol w:w="7"/>
        <w:gridCol w:w="2829"/>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200</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rPr>
              <w:t>1000</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282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569</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398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581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pPr>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bookmarkStart w:id="92" w:name="__DdeLink__4572_550350073"/>
            <w:bookmarkEnd w:id="92"/>
            <w:r>
              <w:rPr/>
              <w:t>See above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498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791</w:t>
            </w:r>
          </w:p>
        </w:tc>
        <w:tc>
          <w:tcPr>
            <w:tcW w:w="829" w:type="dxa"/>
            <w:gridSpan w:val="2"/>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ellenInhalt"/>
              <w:spacing w:before="120" w:after="120"/>
              <w:jc w:val="center"/>
              <w:rPr>
                <w:b/>
                <w:b/>
                <w:bCs/>
                <w:color w:val="FF3333"/>
              </w:rPr>
            </w:pPr>
            <w:bookmarkStart w:id="93" w:name="__DdeLink__4787_296287327"/>
            <w:bookmarkEnd w:id="93"/>
            <w:r>
              <w:rPr>
                <w:b/>
                <w:bCs/>
                <w:color w:val="FF3333"/>
              </w:rPr>
              <w:t>FAIL</w:t>
            </w:r>
          </w:p>
        </w:tc>
        <w:tc>
          <w:tcPr>
            <w:tcW w:w="2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ellenInhalt"/>
              <w:spacing w:before="120" w:after="120"/>
              <w:jc w:val="center"/>
              <w:rPr/>
            </w:pPr>
            <w:r>
              <w:rPr/>
              <w:t>See above</w:t>
            </w:r>
          </w:p>
        </w:tc>
      </w:tr>
    </w:tbl>
    <w:p>
      <w:pPr>
        <w:pStyle w:val="Normal"/>
        <w:spacing w:before="120" w:after="120"/>
        <w:rPr/>
      </w:pPr>
      <w:r>
        <w:rPr/>
      </w:r>
    </w:p>
    <w:sectPr>
      <w:headerReference w:type="even" r:id="rId27"/>
      <w:headerReference w:type="default" r:id="rId28"/>
      <w:footerReference w:type="even" r:id="rId29"/>
      <w:footerReference w:type="default" r:id="rId30"/>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38</w:t>
    </w:r>
    <w:r>
      <w:fldChar w:fldCharType="end"/>
    </w:r>
    <w:r>
      <w:rPr/>
      <w:t xml:space="preserve"> of (</w:t>
    </w:r>
    <w:r>
      <w:rPr/>
      <w:fldChar w:fldCharType="begin"/>
    </w:r>
    <w:r>
      <w:instrText> NUMPAGES </w:instrText>
    </w:r>
    <w:r>
      <w:fldChar w:fldCharType="separate"/>
    </w:r>
    <w:r>
      <w:t>39</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39</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dev-msg-node-nomatrix" TargetMode="External"/><Relationship Id="rId26" Type="http://schemas.openxmlformats.org/officeDocument/2006/relationships/hyperlink" Target="https://github.com/reTHINK-project/dev-msg-node-nodej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329</TotalTime>
  <Application>LibreOffice/5.2.7.2$Linux_X86_64 LibreOffice_project/2b7f1e640c46ceb28adf43ee075a6e8b8439ed10</Application>
  <Pages>39</Pages>
  <Words>6298</Words>
  <Characters>34124</Characters>
  <CharactersWithSpaces>39244</CharactersWithSpaces>
  <Paragraphs>1217</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2016-07-01T16:29:00Z</dcterms:created>
  <dc:creator>Paulo Chainho</dc:creator>
  <dc:description/>
  <dc:language>de-DE</dc:language>
  <cp:lastModifiedBy>Steffen Drüsedow</cp:lastModifiedBy>
  <cp:lastPrinted>2016-07-01T17:13:00Z</cp:lastPrinted>
  <dcterms:modified xsi:type="dcterms:W3CDTF">2017-07-10T09:52:43Z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