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vidia-investor-presentation"/>
    <w:p>
      <w:pPr>
        <w:pStyle w:val="Heading1"/>
      </w:pPr>
      <w:r>
        <w:t xml:space="preserve">NVIDIA Investor Presentation</w:t>
      </w:r>
    </w:p>
    <w:bookmarkStart w:id="20" w:name="company-overview"/>
    <w:p>
      <w:pPr>
        <w:pStyle w:val="Heading2"/>
      </w:pPr>
      <w:r>
        <w:t xml:space="preserve">1. Company Overview</w:t>
      </w:r>
    </w:p>
    <w:p>
      <w:pPr>
        <w:pStyle w:val="FirstParagraph"/>
      </w:pPr>
      <w:r>
        <w:t xml:space="preserve">NVIDIA Corporation is a global leader in accelerated computing, known for its pioneering work in graphics processing units (GPUs), artificial intelligence (AI), and data center technologies. Founded in 1993, the company has transitioned from a gaming-focused graphics company to a dominant player in AI infrastructure, autonomous systems, and enterprise computing.</w:t>
      </w:r>
    </w:p>
    <w:p>
      <w:r>
        <w:pict>
          <v:rect style="width:0;height:1.5pt" o:hralign="center" o:hrstd="t" o:hr="t"/>
        </w:pict>
      </w:r>
    </w:p>
    <w:bookmarkEnd w:id="20"/>
    <w:bookmarkStart w:id="25" w:name="key-business-segments"/>
    <w:p>
      <w:pPr>
        <w:pStyle w:val="Heading2"/>
      </w:pPr>
      <w:r>
        <w:t xml:space="preserve">2. Key Business Segments</w:t>
      </w:r>
    </w:p>
    <w:bookmarkStart w:id="21" w:name="data-center"/>
    <w:p>
      <w:pPr>
        <w:pStyle w:val="Heading3"/>
      </w:pPr>
      <w:r>
        <w:rPr>
          <w:b/>
          <w:bCs/>
        </w:rPr>
        <w:t xml:space="preserve">2.1 Data Center</w:t>
      </w:r>
    </w:p>
    <w:p>
      <w:pPr>
        <w:pStyle w:val="Compact"/>
        <w:numPr>
          <w:ilvl w:val="0"/>
          <w:numId w:val="1001"/>
        </w:numPr>
      </w:pPr>
      <w:r>
        <w:t xml:space="preserve">Largest and fastest-growing segment.</w:t>
      </w:r>
    </w:p>
    <w:p>
      <w:pPr>
        <w:pStyle w:val="Compact"/>
        <w:numPr>
          <w:ilvl w:val="0"/>
          <w:numId w:val="1001"/>
        </w:numPr>
      </w:pPr>
      <w:r>
        <w:t xml:space="preserve">Driven by demand for AI training and inference workloads.</w:t>
      </w:r>
    </w:p>
    <w:p>
      <w:pPr>
        <w:pStyle w:val="Compact"/>
        <w:numPr>
          <w:ilvl w:val="0"/>
          <w:numId w:val="1001"/>
        </w:numPr>
      </w:pPr>
      <w:r>
        <w:t xml:space="preserve">Flagship products include NVIDIA H100, A100, and the upcoming next‑gen platforms.</w:t>
      </w:r>
    </w:p>
    <w:p>
      <w:pPr>
        <w:pStyle w:val="Compact"/>
        <w:numPr>
          <w:ilvl w:val="0"/>
          <w:numId w:val="1001"/>
        </w:numPr>
      </w:pPr>
      <w:r>
        <w:t xml:space="preserve">Powers hyperscalers (AWS, Azure, Google Cloud), research institutions, and enterprises.</w:t>
      </w:r>
    </w:p>
    <w:bookmarkEnd w:id="21"/>
    <w:bookmarkStart w:id="22" w:name="gaming"/>
    <w:p>
      <w:pPr>
        <w:pStyle w:val="Heading3"/>
      </w:pPr>
      <w:r>
        <w:rPr>
          <w:b/>
          <w:bCs/>
        </w:rPr>
        <w:t xml:space="preserve">2.2 Gaming</w:t>
      </w:r>
    </w:p>
    <w:p>
      <w:pPr>
        <w:pStyle w:val="Compact"/>
        <w:numPr>
          <w:ilvl w:val="0"/>
          <w:numId w:val="1002"/>
        </w:numPr>
      </w:pPr>
      <w:r>
        <w:t xml:space="preserve">Home of GeForce GPUs.</w:t>
      </w:r>
    </w:p>
    <w:p>
      <w:pPr>
        <w:pStyle w:val="Compact"/>
        <w:numPr>
          <w:ilvl w:val="0"/>
          <w:numId w:val="1002"/>
        </w:numPr>
      </w:pPr>
      <w:r>
        <w:t xml:space="preserve">Includes laptops, desktops, and cloud gaming (GeForce NOW).</w:t>
      </w:r>
    </w:p>
    <w:p>
      <w:pPr>
        <w:pStyle w:val="Compact"/>
        <w:numPr>
          <w:ilvl w:val="0"/>
          <w:numId w:val="1002"/>
        </w:numPr>
      </w:pPr>
      <w:r>
        <w:t xml:space="preserve">Ray tracing and DLSS (Deep Learning Super Sampling) continue to grow adoption.</w:t>
      </w:r>
    </w:p>
    <w:bookmarkEnd w:id="22"/>
    <w:bookmarkStart w:id="23" w:name="professional-visualization"/>
    <w:p>
      <w:pPr>
        <w:pStyle w:val="Heading3"/>
      </w:pPr>
      <w:r>
        <w:rPr>
          <w:b/>
          <w:bCs/>
        </w:rPr>
        <w:t xml:space="preserve">2.3 Professional Visualization</w:t>
      </w:r>
    </w:p>
    <w:p>
      <w:pPr>
        <w:pStyle w:val="Compact"/>
        <w:numPr>
          <w:ilvl w:val="0"/>
          <w:numId w:val="1003"/>
        </w:numPr>
      </w:pPr>
      <w:r>
        <w:t xml:space="preserve">Used in design, engineering, and simulation.</w:t>
      </w:r>
    </w:p>
    <w:p>
      <w:pPr>
        <w:pStyle w:val="Compact"/>
        <w:numPr>
          <w:ilvl w:val="0"/>
          <w:numId w:val="1003"/>
        </w:numPr>
      </w:pPr>
      <w:r>
        <w:t xml:space="preserve">Powered by RTX technology.</w:t>
      </w:r>
    </w:p>
    <w:bookmarkEnd w:id="23"/>
    <w:bookmarkStart w:id="24" w:name="automotive"/>
    <w:p>
      <w:pPr>
        <w:pStyle w:val="Heading3"/>
      </w:pPr>
      <w:r>
        <w:rPr>
          <w:b/>
          <w:bCs/>
        </w:rPr>
        <w:t xml:space="preserve">2.4 Automotive</w:t>
      </w:r>
    </w:p>
    <w:p>
      <w:pPr>
        <w:pStyle w:val="Compact"/>
        <w:numPr>
          <w:ilvl w:val="0"/>
          <w:numId w:val="1004"/>
        </w:numPr>
      </w:pPr>
      <w:r>
        <w:t xml:space="preserve">Focus on autonomous driving and AI‑based cockpit systems.</w:t>
      </w:r>
    </w:p>
    <w:p>
      <w:pPr>
        <w:pStyle w:val="Compact"/>
        <w:numPr>
          <w:ilvl w:val="0"/>
          <w:numId w:val="1004"/>
        </w:numPr>
      </w:pPr>
      <w:r>
        <w:t xml:space="preserve">Includes NVIDIA DRIVE platform.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nancial-highlights"/>
    <w:p>
      <w:pPr>
        <w:pStyle w:val="Heading2"/>
      </w:pPr>
      <w:r>
        <w:t xml:space="preserve">3. Financial Highlights</w:t>
      </w:r>
    </w:p>
    <w:p>
      <w:pPr>
        <w:pStyle w:val="Compact"/>
        <w:numPr>
          <w:ilvl w:val="0"/>
          <w:numId w:val="1005"/>
        </w:numPr>
      </w:pPr>
      <w:r>
        <w:t xml:space="preserve">Revenue growth primarily driven by AI and data center.</w:t>
      </w:r>
    </w:p>
    <w:p>
      <w:pPr>
        <w:pStyle w:val="Compact"/>
        <w:numPr>
          <w:ilvl w:val="0"/>
          <w:numId w:val="1005"/>
        </w:numPr>
      </w:pPr>
      <w:r>
        <w:t xml:space="preserve">Strong margins due to high‑performance hardware and software ecosystem.</w:t>
      </w:r>
    </w:p>
    <w:p>
      <w:pPr>
        <w:pStyle w:val="Compact"/>
        <w:numPr>
          <w:ilvl w:val="0"/>
          <w:numId w:val="1005"/>
        </w:numPr>
      </w:pPr>
      <w:r>
        <w:t xml:space="preserve">Increasing software‑related recurring revenue through CUDA, enterprise AI licenses, and Omniverse.</w:t>
      </w:r>
    </w:p>
    <w:p>
      <w:r>
        <w:pict>
          <v:rect style="width:0;height:1.5pt" o:hralign="center" o:hrstd="t" o:hr="t"/>
        </w:pict>
      </w:r>
    </w:p>
    <w:bookmarkEnd w:id="26"/>
    <w:bookmarkStart w:id="30" w:name="nvidia-ai-platform"/>
    <w:p>
      <w:pPr>
        <w:pStyle w:val="Heading2"/>
      </w:pPr>
      <w:r>
        <w:t xml:space="preserve">4. NVIDIA AI Platform</w:t>
      </w:r>
    </w:p>
    <w:bookmarkStart w:id="27" w:name="cuda-ecosystem"/>
    <w:p>
      <w:pPr>
        <w:pStyle w:val="Heading3"/>
      </w:pPr>
      <w:r>
        <w:rPr>
          <w:b/>
          <w:bCs/>
        </w:rPr>
        <w:t xml:space="preserve">4.1 CUDA Ecosystem</w:t>
      </w:r>
    </w:p>
    <w:p>
      <w:pPr>
        <w:pStyle w:val="Compact"/>
        <w:numPr>
          <w:ilvl w:val="0"/>
          <w:numId w:val="1006"/>
        </w:numPr>
      </w:pPr>
      <w:r>
        <w:t xml:space="preserve">Proprietary parallel computing platform.</w:t>
      </w:r>
    </w:p>
    <w:p>
      <w:pPr>
        <w:pStyle w:val="Compact"/>
        <w:numPr>
          <w:ilvl w:val="0"/>
          <w:numId w:val="1006"/>
        </w:numPr>
      </w:pPr>
      <w:r>
        <w:t xml:space="preserve">Foundation for AI training and simulation worldwide.</w:t>
      </w:r>
    </w:p>
    <w:bookmarkEnd w:id="27"/>
    <w:bookmarkStart w:id="28" w:name="dgx-systems"/>
    <w:p>
      <w:pPr>
        <w:pStyle w:val="Heading3"/>
      </w:pPr>
      <w:r>
        <w:rPr>
          <w:b/>
          <w:bCs/>
        </w:rPr>
        <w:t xml:space="preserve">4.2 DGX Systems</w:t>
      </w:r>
    </w:p>
    <w:p>
      <w:pPr>
        <w:pStyle w:val="Compact"/>
        <w:numPr>
          <w:ilvl w:val="0"/>
          <w:numId w:val="1007"/>
        </w:numPr>
      </w:pPr>
      <w:r>
        <w:t xml:space="preserve">Full‑stack AI supercomputers.</w:t>
      </w:r>
    </w:p>
    <w:p>
      <w:pPr>
        <w:pStyle w:val="Compact"/>
        <w:numPr>
          <w:ilvl w:val="0"/>
          <w:numId w:val="1007"/>
        </w:numPr>
      </w:pPr>
      <w:r>
        <w:t xml:space="preserve">Used extensively for LLM training and enterprise AI adoption.</w:t>
      </w:r>
    </w:p>
    <w:bookmarkEnd w:id="28"/>
    <w:bookmarkStart w:id="29" w:name="networking-mellanox"/>
    <w:p>
      <w:pPr>
        <w:pStyle w:val="Heading3"/>
      </w:pPr>
      <w:r>
        <w:rPr>
          <w:b/>
          <w:bCs/>
        </w:rPr>
        <w:t xml:space="preserve">4.3 Networking (Mellanox)</w:t>
      </w:r>
    </w:p>
    <w:p>
      <w:pPr>
        <w:pStyle w:val="Compact"/>
        <w:numPr>
          <w:ilvl w:val="0"/>
          <w:numId w:val="1008"/>
        </w:numPr>
      </w:pPr>
      <w:r>
        <w:t xml:space="preserve">High‑speed networking such as InfiniBand.</w:t>
      </w:r>
    </w:p>
    <w:p>
      <w:pPr>
        <w:pStyle w:val="Compact"/>
        <w:numPr>
          <w:ilvl w:val="0"/>
          <w:numId w:val="1008"/>
        </w:numPr>
      </w:pPr>
      <w:r>
        <w:t xml:space="preserve">Critical for AI clusters.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market-opportunities"/>
    <w:p>
      <w:pPr>
        <w:pStyle w:val="Heading2"/>
      </w:pPr>
      <w:r>
        <w:t xml:space="preserve">5. Market Opportunities</w:t>
      </w:r>
    </w:p>
    <w:bookmarkStart w:id="31" w:name="generative-ai"/>
    <w:p>
      <w:pPr>
        <w:pStyle w:val="Heading3"/>
      </w:pPr>
      <w:r>
        <w:rPr>
          <w:b/>
          <w:bCs/>
        </w:rPr>
        <w:t xml:space="preserve">5.1 Generative AI</w:t>
      </w:r>
    </w:p>
    <w:p>
      <w:pPr>
        <w:pStyle w:val="Compact"/>
        <w:numPr>
          <w:ilvl w:val="0"/>
          <w:numId w:val="1009"/>
        </w:numPr>
      </w:pPr>
      <w:r>
        <w:t xml:space="preserve">Massive demand for training LLMs and deploying inference workloads.</w:t>
      </w:r>
    </w:p>
    <w:p>
      <w:pPr>
        <w:pStyle w:val="Compact"/>
        <w:numPr>
          <w:ilvl w:val="0"/>
          <w:numId w:val="1009"/>
        </w:numPr>
      </w:pPr>
      <w:r>
        <w:t xml:space="preserve">Enterprise AI adoption increasing globally.</w:t>
      </w:r>
    </w:p>
    <w:bookmarkEnd w:id="31"/>
    <w:bookmarkStart w:id="32" w:name="autonomous-vehicles"/>
    <w:p>
      <w:pPr>
        <w:pStyle w:val="Heading3"/>
      </w:pPr>
      <w:r>
        <w:rPr>
          <w:b/>
          <w:bCs/>
        </w:rPr>
        <w:t xml:space="preserve">5.2 Autonomous Vehicles</w:t>
      </w:r>
    </w:p>
    <w:p>
      <w:pPr>
        <w:pStyle w:val="Compact"/>
        <w:numPr>
          <w:ilvl w:val="0"/>
          <w:numId w:val="1010"/>
        </w:numPr>
      </w:pPr>
      <w:r>
        <w:t xml:space="preserve">Long‑term opportunity in AI‑powered transportation.</w:t>
      </w:r>
    </w:p>
    <w:bookmarkEnd w:id="32"/>
    <w:bookmarkStart w:id="33" w:name="industrial-digital-twins-omniverse"/>
    <w:p>
      <w:pPr>
        <w:pStyle w:val="Heading3"/>
      </w:pPr>
      <w:r>
        <w:rPr>
          <w:b/>
          <w:bCs/>
        </w:rPr>
        <w:t xml:space="preserve">5.3 Industrial Digital Twins (Omniverse)</w:t>
      </w:r>
    </w:p>
    <w:p>
      <w:pPr>
        <w:pStyle w:val="Compact"/>
        <w:numPr>
          <w:ilvl w:val="0"/>
          <w:numId w:val="1011"/>
        </w:numPr>
      </w:pPr>
      <w:r>
        <w:t xml:space="preserve">Simulation and robotics acceleration.</w:t>
      </w:r>
    </w:p>
    <w:bookmarkEnd w:id="33"/>
    <w:bookmarkStart w:id="34" w:name="cloud-hyperscaler-partnerships"/>
    <w:p>
      <w:pPr>
        <w:pStyle w:val="Heading3"/>
      </w:pPr>
      <w:r>
        <w:rPr>
          <w:b/>
          <w:bCs/>
        </w:rPr>
        <w:t xml:space="preserve">5.4 Cloud &amp; Hyperscaler Partnerships</w:t>
      </w:r>
    </w:p>
    <w:p>
      <w:pPr>
        <w:pStyle w:val="Compact"/>
        <w:numPr>
          <w:ilvl w:val="0"/>
          <w:numId w:val="1012"/>
        </w:numPr>
      </w:pPr>
      <w:r>
        <w:t xml:space="preserve">Strong collaboration pipeline across major cloud service providers.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trategic-advantages"/>
    <w:p>
      <w:pPr>
        <w:pStyle w:val="Heading2"/>
      </w:pPr>
      <w:r>
        <w:t xml:space="preserve">6. Strategic Advantages</w:t>
      </w:r>
    </w:p>
    <w:p>
      <w:pPr>
        <w:pStyle w:val="Compact"/>
        <w:numPr>
          <w:ilvl w:val="0"/>
          <w:numId w:val="1013"/>
        </w:numPr>
      </w:pPr>
      <w:r>
        <w:t xml:space="preserve">Technological leadership in GPU and AI acceleration.</w:t>
      </w:r>
    </w:p>
    <w:p>
      <w:pPr>
        <w:pStyle w:val="Compact"/>
        <w:numPr>
          <w:ilvl w:val="0"/>
          <w:numId w:val="1013"/>
        </w:numPr>
      </w:pPr>
      <w:r>
        <w:t xml:space="preserve">Deep software ecosystem (CUDA, TensorRT, NeMo).</w:t>
      </w:r>
    </w:p>
    <w:p>
      <w:pPr>
        <w:pStyle w:val="Compact"/>
        <w:numPr>
          <w:ilvl w:val="0"/>
          <w:numId w:val="1013"/>
        </w:numPr>
      </w:pPr>
      <w:r>
        <w:t xml:space="preserve">Strong partnerships across cloud, automotive, robotics, and enterprise.</w:t>
      </w:r>
    </w:p>
    <w:p>
      <w:pPr>
        <w:pStyle w:val="Compact"/>
        <w:numPr>
          <w:ilvl w:val="0"/>
          <w:numId w:val="1013"/>
        </w:numPr>
      </w:pPr>
      <w:r>
        <w:t xml:space="preserve">Unique end‑to‑end platform: hardware + software + networking.</w:t>
      </w:r>
    </w:p>
    <w:p>
      <w:r>
        <w:pict>
          <v:rect style="width:0;height:1.5pt" o:hralign="center" o:hrstd="t" o:hr="t"/>
        </w:pict>
      </w:r>
    </w:p>
    <w:bookmarkEnd w:id="36"/>
    <w:bookmarkStart w:id="37" w:name="risks-challenges"/>
    <w:p>
      <w:pPr>
        <w:pStyle w:val="Heading2"/>
      </w:pPr>
      <w:r>
        <w:t xml:space="preserve">7. Risks &amp; Challenges</w:t>
      </w:r>
    </w:p>
    <w:p>
      <w:pPr>
        <w:pStyle w:val="Compact"/>
        <w:numPr>
          <w:ilvl w:val="0"/>
          <w:numId w:val="1014"/>
        </w:numPr>
      </w:pPr>
      <w:r>
        <w:t xml:space="preserve">Competitive pressure from AMD, Intel, and custom AI chips.</w:t>
      </w:r>
    </w:p>
    <w:p>
      <w:pPr>
        <w:pStyle w:val="Compact"/>
        <w:numPr>
          <w:ilvl w:val="0"/>
          <w:numId w:val="1014"/>
        </w:numPr>
      </w:pPr>
      <w:r>
        <w:t xml:space="preserve">Supply chain and manufacturing dependency (primarily TSMC).</w:t>
      </w:r>
    </w:p>
    <w:p>
      <w:pPr>
        <w:pStyle w:val="Compact"/>
        <w:numPr>
          <w:ilvl w:val="0"/>
          <w:numId w:val="1014"/>
        </w:numPr>
      </w:pPr>
      <w:r>
        <w:t xml:space="preserve">Regulatory concerns in sensitive markets.</w:t>
      </w:r>
    </w:p>
    <w:p>
      <w:r>
        <w:pict>
          <v:rect style="width:0;height:1.5pt" o:hralign="center" o:hrstd="t" o:hr="t"/>
        </w:pict>
      </w:r>
    </w:p>
    <w:bookmarkEnd w:id="37"/>
    <w:bookmarkStart w:id="38" w:name="future-outlook"/>
    <w:p>
      <w:pPr>
        <w:pStyle w:val="Heading2"/>
      </w:pPr>
      <w:r>
        <w:t xml:space="preserve">8. Future Outlook</w:t>
      </w:r>
    </w:p>
    <w:p>
      <w:pPr>
        <w:pStyle w:val="Compact"/>
        <w:numPr>
          <w:ilvl w:val="0"/>
          <w:numId w:val="1015"/>
        </w:numPr>
      </w:pPr>
      <w:r>
        <w:t xml:space="preserve">Expected continued leadership in AI infrastructure.</w:t>
      </w:r>
    </w:p>
    <w:p>
      <w:pPr>
        <w:pStyle w:val="Compact"/>
        <w:numPr>
          <w:ilvl w:val="0"/>
          <w:numId w:val="1015"/>
        </w:numPr>
      </w:pPr>
      <w:r>
        <w:t xml:space="preserve">Rapid expansion in enterprise AI deployments.</w:t>
      </w:r>
    </w:p>
    <w:p>
      <w:pPr>
        <w:pStyle w:val="Compact"/>
        <w:numPr>
          <w:ilvl w:val="0"/>
          <w:numId w:val="1015"/>
        </w:numPr>
      </w:pPr>
      <w:r>
        <w:t xml:space="preserve">Growth of AI PCs and edge AI markets.</w:t>
      </w:r>
    </w:p>
    <w:p>
      <w:pPr>
        <w:pStyle w:val="Compact"/>
        <w:numPr>
          <w:ilvl w:val="0"/>
          <w:numId w:val="1015"/>
        </w:numPr>
      </w:pPr>
      <w:r>
        <w:t xml:space="preserve">Strong roadmap for next‑generation GPUs, networking, and software platforms.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NVIDIA remains positioned as a top beneficiary of the global AI wave. Its full‑stack approach, hardware dominance, and software ecosystem provide sustained competitive advantages and long‑term growth potential.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 expand this document into slides, add financial charts, or create a more detailed analyst‑style report.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2025-12-10T12:34:43Z</dcterms:created>
  <dcterms:modified xsi:type="dcterms:W3CDTF">2025-12-10T12:34:43Z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