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document serves as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Master Blueprint</w:t>
      </w:r>
      <w:r w:rsidDel="00000000" w:rsidR="00000000" w:rsidRPr="00000000">
        <w:rPr>
          <w:color w:val="1f1f1f"/>
          <w:rtl w:val="0"/>
        </w:rPr>
        <w:t xml:space="preserve"> for FloPlug. It outlines the Multi-Tenant Architecture, the "Siloed" data strategy, and the technical directory structure of your codebase.</w:t>
      </w:r>
    </w:p>
    <w:p w:rsidR="00000000" w:rsidDel="00000000" w:rsidP="00000000" w:rsidRDefault="00000000" w:rsidRPr="00000000" w14:paraId="00000002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oz6b88s5bod4" w:id="0"/>
      <w:bookmarkEnd w:id="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🏛️ FloPlug Platform Architecture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ws3zwtechiwf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 High-Level Concept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FloPlug is an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Enterprise iPaaS (Integration Platform as a Service)</w:t>
      </w:r>
      <w:r w:rsidDel="00000000" w:rsidR="00000000" w:rsidRPr="00000000">
        <w:rPr>
          <w:color w:val="1f1f1f"/>
          <w:rtl w:val="0"/>
        </w:rPr>
        <w:t xml:space="preserve"> designed for high-scale, multi-tenant environments. It uses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Logical Isolation</w:t>
      </w:r>
      <w:r w:rsidDel="00000000" w:rsidR="00000000" w:rsidRPr="00000000">
        <w:rPr>
          <w:color w:val="1f1f1f"/>
          <w:rtl w:val="0"/>
        </w:rPr>
        <w:t xml:space="preserve"> to ensure that data for different Organizations and Tenants is physically siloed while sharing a global infrastructure for cost-efficiency.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370bkq3iwz77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 The Hierarchy Model (The "Drill-Down")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support enterprise lifecycles (Dev -&gt; Test -&gt; Prod), FloPlug follows this strict hierarchy: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Organization</w:t>
      </w:r>
      <w:r w:rsidDel="00000000" w:rsidR="00000000" w:rsidRPr="00000000">
        <w:rPr>
          <w:color w:val="1f1f1f"/>
          <w:rtl w:val="0"/>
        </w:rPr>
        <w:t xml:space="preserve">: The Subscriber (Legal Entity).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Tenant</w:t>
      </w:r>
      <w:r w:rsidDel="00000000" w:rsidR="00000000" w:rsidRPr="00000000">
        <w:rPr>
          <w:color w:val="1f1f1f"/>
          <w:rtl w:val="0"/>
        </w:rPr>
        <w:t xml:space="preserve">: The Environment (PROD, SANDBOX, DEV). Each has its own branding and shared connectors.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Workspace</w:t>
      </w:r>
      <w:r w:rsidDel="00000000" w:rsidR="00000000" w:rsidRPr="00000000">
        <w:rPr>
          <w:color w:val="1f1f1f"/>
          <w:rtl w:val="0"/>
        </w:rPr>
        <w:t xml:space="preserve">: Logical folders (HR, Finance, Personal) that group flows.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Flow</w:t>
      </w:r>
      <w:r w:rsidDel="00000000" w:rsidR="00000000" w:rsidRPr="00000000">
        <w:rPr>
          <w:color w:val="1f1f1f"/>
          <w:rtl w:val="0"/>
        </w:rPr>
        <w:t xml:space="preserve">: The automation logic boards (React Flow).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4rbvqf8ismce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3. Visual Infrastructure Diagram</w:t>
      </w:r>
    </w:p>
    <w:p w:rsidR="00000000" w:rsidDel="00000000" w:rsidP="00000000" w:rsidRDefault="00000000" w:rsidRPr="00000000" w14:paraId="0000000D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Code snippet</w:t>
      </w:r>
    </w:p>
    <w:p w:rsidR="00000000" w:rsidDel="00000000" w:rsidP="00000000" w:rsidRDefault="00000000" w:rsidRPr="00000000" w14:paraId="0000000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graph TD</w:t>
      </w:r>
    </w:p>
    <w:p w:rsidR="00000000" w:rsidDel="00000000" w:rsidP="00000000" w:rsidRDefault="00000000" w:rsidRPr="00000000" w14:paraId="0000000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subgraph "Client Layer"</w:t>
      </w:r>
    </w:p>
    <w:p w:rsidR="00000000" w:rsidDel="00000000" w:rsidP="00000000" w:rsidRDefault="00000000" w:rsidRPr="00000000" w14:paraId="0000001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URL[app.floplug.io] --&gt; Front[Vite/React MPA]</w:t>
      </w:r>
    </w:p>
    <w:p w:rsidR="00000000" w:rsidDel="00000000" w:rsidP="00000000" w:rsidRDefault="00000000" w:rsidRPr="00000000" w14:paraId="0000001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Path[floplug.io/ws/slug] --&gt; Branding[Dynamic Tenant Skinning]</w:t>
      </w:r>
    </w:p>
    <w:p w:rsidR="00000000" w:rsidDel="00000000" w:rsidP="00000000" w:rsidRDefault="00000000" w:rsidRPr="00000000" w14:paraId="0000001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end</w:t>
      </w:r>
    </w:p>
    <w:p w:rsidR="00000000" w:rsidDel="00000000" w:rsidP="00000000" w:rsidRDefault="00000000" w:rsidRPr="00000000" w14:paraId="00000013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subgraph "Logic Layer (Firebase Cloud Functions)"</w:t>
      </w:r>
    </w:p>
    <w:p w:rsidR="00000000" w:rsidDel="00000000" w:rsidP="00000000" w:rsidRDefault="00000000" w:rsidRPr="00000000" w14:paraId="0000001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CF[Cloud Functions v2] --&gt; Auth[Custom Claims Middleware]</w:t>
      </w:r>
    </w:p>
    <w:p w:rsidR="00000000" w:rsidDel="00000000" w:rsidP="00000000" w:rsidRDefault="00000000" w:rsidRPr="00000000" w14:paraId="0000001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CF --&gt; Engine[Workday/Salesforce Connector Logic]</w:t>
      </w:r>
    </w:p>
    <w:p w:rsidR="00000000" w:rsidDel="00000000" w:rsidP="00000000" w:rsidRDefault="00000000" w:rsidRPr="00000000" w14:paraId="0000001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end</w:t>
      </w:r>
    </w:p>
    <w:p w:rsidR="00000000" w:rsidDel="00000000" w:rsidP="00000000" w:rsidRDefault="00000000" w:rsidRPr="00000000" w14:paraId="00000018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subgraph "Data Layer (Firestore)"</w:t>
      </w:r>
    </w:p>
    <w:p w:rsidR="00000000" w:rsidDel="00000000" w:rsidP="00000000" w:rsidRDefault="00000000" w:rsidRPr="00000000" w14:paraId="0000001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Global[(Global Master Collections)]</w:t>
      </w:r>
    </w:p>
    <w:p w:rsidR="00000000" w:rsidDel="00000000" w:rsidP="00000000" w:rsidRDefault="00000000" w:rsidRPr="00000000" w14:paraId="0000001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TenantSilo[(Organization/Tenant Sub-collections)]</w:t>
      </w:r>
    </w:p>
    <w:p w:rsidR="00000000" w:rsidDel="00000000" w:rsidP="00000000" w:rsidRDefault="00000000" w:rsidRPr="00000000" w14:paraId="0000001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</w:p>
    <w:p w:rsidR="00000000" w:rsidDel="00000000" w:rsidP="00000000" w:rsidRDefault="00000000" w:rsidRPr="00000000" w14:paraId="0000001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Global --&gt; |Schema Blueprints| Front</w:t>
      </w:r>
    </w:p>
    <w:p w:rsidR="00000000" w:rsidDel="00000000" w:rsidP="00000000" w:rsidRDefault="00000000" w:rsidRPr="00000000" w14:paraId="0000001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TenantSilo --&gt; |Siloed Data| Front</w:t>
      </w:r>
    </w:p>
    <w:p w:rsidR="00000000" w:rsidDel="00000000" w:rsidP="00000000" w:rsidRDefault="00000000" w:rsidRPr="00000000" w14:paraId="0000001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end</w:t>
      </w:r>
    </w:p>
    <w:p w:rsidR="00000000" w:rsidDel="00000000" w:rsidP="00000000" w:rsidRDefault="00000000" w:rsidRPr="00000000" w14:paraId="00000020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h37tehwwfnlv" w:id="4"/>
      <w:bookmarkEnd w:id="4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📂 Backend Codebase: Directory Map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Here is the current state of your </w:t>
      </w:r>
      <w:r w:rsidDel="00000000" w:rsidR="00000000" w:rsidRPr="00000000">
        <w:rPr>
          <w:color w:val="444746"/>
          <w:shd w:fill="e9eef6" w:val="clear"/>
          <w:rtl w:val="0"/>
        </w:rPr>
        <w:t xml:space="preserve">functions/</w:t>
      </w:r>
      <w:r w:rsidDel="00000000" w:rsidR="00000000" w:rsidRPr="00000000">
        <w:rPr>
          <w:color w:val="1f1f1f"/>
          <w:rtl w:val="0"/>
        </w:rPr>
        <w:t xml:space="preserve"> directory and the purpose of each file:</w:t>
      </w:r>
    </w:p>
    <w:tbl>
      <w:tblPr>
        <w:tblStyle w:val="Table1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95"/>
        <w:gridCol w:w="2115"/>
        <w:gridCol w:w="4380"/>
        <w:tblGridChange w:id="0">
          <w:tblGrid>
            <w:gridCol w:w="2295"/>
            <w:gridCol w:w="2115"/>
            <w:gridCol w:w="4380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functions/src/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444746"/>
                <w:shd w:fill="e9eef6" w:val="clear"/>
                <w:rtl w:val="0"/>
              </w:rPr>
              <w:t xml:space="preserve">index.ts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The "Entry Point." Exports all callable Cloud Functions.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functions/src/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444746"/>
                <w:shd w:fill="e9eef6" w:val="clear"/>
                <w:rtl w:val="0"/>
              </w:rPr>
              <w:t xml:space="preserve">engine.ts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Core execution logic. Handles the Workday/Salesforce API calls.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functions/src/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444746"/>
                <w:shd w:fill="e9eef6" w:val="clear"/>
                <w:rtl w:val="0"/>
              </w:rPr>
              <w:t xml:space="preserve">provisioning.ts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Admin-only functions to create new Organizations and Tenants.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functions/src/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444746"/>
                <w:shd w:fill="e9eef6" w:val="clear"/>
                <w:rtl w:val="0"/>
              </w:rPr>
              <w:t xml:space="preserve">auth.ts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Middleware to manage Custom Claims (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orgId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role</w:t>
            </w:r>
            <w:r w:rsidDel="00000000" w:rsidR="00000000" w:rsidRPr="00000000">
              <w:rPr>
                <w:color w:val="1f1f1f"/>
                <w:rtl w:val="0"/>
              </w:rPr>
              <w:t xml:space="preserve">).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functions/src/utils/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444746"/>
                <w:shd w:fill="e9eef6" w:val="clear"/>
                <w:rtl w:val="0"/>
              </w:rPr>
              <w:t xml:space="preserve">encryption.ts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Handles encryption/decryption of connector secrets.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root/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444746"/>
                <w:shd w:fill="e9eef6" w:val="clear"/>
                <w:rtl w:val="0"/>
              </w:rPr>
              <w:t xml:space="preserve">seed.node.js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CLI script to populate Global Master collections via Admin SDK.</w:t>
            </w:r>
          </w:p>
        </w:tc>
      </w:tr>
    </w:tbl>
    <w:p w:rsidR="00000000" w:rsidDel="00000000" w:rsidP="00000000" w:rsidRDefault="00000000" w:rsidRPr="00000000" w14:paraId="00000039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b43tb28vnhyo" w:id="5"/>
      <w:bookmarkEnd w:id="5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🔑 ID Philosophy: UUID vs. IntegrationID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Every object in FloPlug carries two identities to ensure it is both machine-optimized and human-readable.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Firebase UUID (</w:t>
      </w: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id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Nature:</w:t>
      </w:r>
      <w:r w:rsidDel="00000000" w:rsidR="00000000" w:rsidRPr="00000000">
        <w:rPr>
          <w:color w:val="1f1f1f"/>
          <w:rtl w:val="0"/>
        </w:rPr>
        <w:t xml:space="preserve"> Auto-generated (e.g., </w:t>
      </w:r>
      <w:r w:rsidDel="00000000" w:rsidR="00000000" w:rsidRPr="00000000">
        <w:rPr>
          <w:color w:val="444746"/>
          <w:shd w:fill="e9eef6" w:val="clear"/>
          <w:rtl w:val="0"/>
        </w:rPr>
        <w:t xml:space="preserve">zK98xQ...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Purpose:</w:t>
      </w:r>
      <w:r w:rsidDel="00000000" w:rsidR="00000000" w:rsidRPr="00000000">
        <w:rPr>
          <w:color w:val="1f1f1f"/>
          <w:rtl w:val="0"/>
        </w:rPr>
        <w:t xml:space="preserve"> The physical database key. Used for high-speed lookups and internal linking.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Integration ID (</w:t>
      </w: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integrationId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Nature:</w:t>
      </w:r>
      <w:r w:rsidDel="00000000" w:rsidR="00000000" w:rsidRPr="00000000">
        <w:rPr>
          <w:color w:val="1f1f1f"/>
          <w:rtl w:val="0"/>
        </w:rPr>
        <w:t xml:space="preserve"> User-defined or slugified (e.g., </w:t>
      </w:r>
      <w:r w:rsidDel="00000000" w:rsidR="00000000" w:rsidRPr="00000000">
        <w:rPr>
          <w:color w:val="444746"/>
          <w:shd w:fill="e9eef6" w:val="clear"/>
          <w:rtl w:val="0"/>
        </w:rPr>
        <w:t xml:space="preserve">workday-prod-001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Purpose:</w:t>
      </w:r>
      <w:r w:rsidDel="00000000" w:rsidR="00000000" w:rsidRPr="00000000">
        <w:rPr>
          <w:color w:val="1f1f1f"/>
          <w:rtl w:val="0"/>
        </w:rPr>
        <w:t xml:space="preserve"> Used for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Public APIs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Promotion logic</w:t>
      </w:r>
      <w:r w:rsidDel="00000000" w:rsidR="00000000" w:rsidRPr="00000000">
        <w:rPr>
          <w:color w:val="1f1f1f"/>
          <w:rtl w:val="0"/>
        </w:rPr>
        <w:t xml:space="preserve">. When moving a flow from SB to PROD, the system matches connections based on this ID.</w:t>
      </w:r>
    </w:p>
    <w:p w:rsidR="00000000" w:rsidDel="00000000" w:rsidP="00000000" w:rsidRDefault="00000000" w:rsidRPr="00000000" w14:paraId="00000042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ha55pcichq7m" w:id="6"/>
      <w:bookmarkEnd w:id="6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🛠️ How the Platform Works (The Lifecycle)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3xh78m8vu1ap" w:id="7"/>
      <w:bookmarkEnd w:id="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Step 1: Provisioning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 Global Admin uses a script or UI to create an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Organization</w:t>
      </w:r>
      <w:r w:rsidDel="00000000" w:rsidR="00000000" w:rsidRPr="00000000">
        <w:rPr>
          <w:color w:val="1f1f1f"/>
          <w:rtl w:val="0"/>
        </w:rPr>
        <w:t xml:space="preserve">. This generates the root </w:t>
      </w:r>
      <w:r w:rsidDel="00000000" w:rsidR="00000000" w:rsidRPr="00000000">
        <w:rPr>
          <w:color w:val="444746"/>
          <w:shd w:fill="e9eef6" w:val="clear"/>
          <w:rtl w:val="0"/>
        </w:rPr>
        <w:t xml:space="preserve">/Organizations/{orgId}</w:t>
      </w:r>
      <w:r w:rsidDel="00000000" w:rsidR="00000000" w:rsidRPr="00000000">
        <w:rPr>
          <w:color w:val="1f1f1f"/>
          <w:rtl w:val="0"/>
        </w:rPr>
        <w:t xml:space="preserve"> document and initial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Tenants</w:t>
      </w:r>
      <w:r w:rsidDel="00000000" w:rsidR="00000000" w:rsidRPr="00000000">
        <w:rPr>
          <w:color w:val="1f1f1f"/>
          <w:rtl w:val="0"/>
        </w:rPr>
        <w:t xml:space="preserve"> (PROD/SB).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lfx5h72cilmg" w:id="8"/>
      <w:bookmarkEnd w:id="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Step 2: Connection Setup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An Admin navigates to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Tenant Settings</w:t>
      </w:r>
      <w:r w:rsidDel="00000000" w:rsidR="00000000" w:rsidRPr="00000000">
        <w:rPr>
          <w:color w:val="1f1f1f"/>
          <w:rtl w:val="0"/>
        </w:rPr>
        <w:t xml:space="preserve">. They select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ConnectorPlug</w:t>
      </w:r>
      <w:r w:rsidDel="00000000" w:rsidR="00000000" w:rsidRPr="00000000">
        <w:rPr>
          <w:color w:val="1f1f1f"/>
          <w:rtl w:val="0"/>
        </w:rPr>
        <w:t xml:space="preserve"> (e.g., Workday) and an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AuthOption</w:t>
      </w:r>
      <w:r w:rsidDel="00000000" w:rsidR="00000000" w:rsidRPr="00000000">
        <w:rPr>
          <w:color w:val="1f1f1f"/>
          <w:rtl w:val="0"/>
        </w:rPr>
        <w:t xml:space="preserve"> (e.g., Basic Auth). They save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ConnectionInstance</w:t>
      </w:r>
      <w:r w:rsidDel="00000000" w:rsidR="00000000" w:rsidRPr="00000000">
        <w:rPr>
          <w:color w:val="1f1f1f"/>
          <w:rtl w:val="0"/>
        </w:rPr>
        <w:t xml:space="preserve">. This is now available to all Workspaces in that Tenant.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xg1di7hksjuy" w:id="9"/>
      <w:bookmarkEnd w:id="9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Step 3: Flow Designing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 user enters their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Workspace</w:t>
      </w:r>
      <w:r w:rsidDel="00000000" w:rsidR="00000000" w:rsidRPr="00000000">
        <w:rPr>
          <w:color w:val="1f1f1f"/>
          <w:rtl w:val="0"/>
        </w:rPr>
        <w:t xml:space="preserve">. They drag a Workday node onto the canvas. The node configuration panel fetches all available </w:t>
      </w:r>
      <w:r w:rsidDel="00000000" w:rsidR="00000000" w:rsidRPr="00000000">
        <w:rPr>
          <w:color w:val="444746"/>
          <w:shd w:fill="e9eef6" w:val="clear"/>
          <w:rtl w:val="0"/>
        </w:rPr>
        <w:t xml:space="preserve">ConnectionInstances</w:t>
      </w:r>
      <w:r w:rsidDel="00000000" w:rsidR="00000000" w:rsidRPr="00000000">
        <w:rPr>
          <w:color w:val="1f1f1f"/>
          <w:rtl w:val="0"/>
        </w:rPr>
        <w:t xml:space="preserve"> from the Tenant level.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4sae1af5buoc" w:id="10"/>
      <w:bookmarkEnd w:id="1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Step 4: Promotion (The "CI/CD" of Flows)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Once a flow is tested in the Sandbox Tenant, the user clicks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Promote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The system checks if the target Tenant (PROD) has a connection with the same </w:t>
      </w:r>
      <w:r w:rsidDel="00000000" w:rsidR="00000000" w:rsidRPr="00000000">
        <w:rPr>
          <w:color w:val="444746"/>
          <w:shd w:fill="e9eef6" w:val="clear"/>
          <w:rtl w:val="0"/>
        </w:rPr>
        <w:t xml:space="preserve">integrationId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If yes, the Flow JSON is copied to the PROD Workspace.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The flow is now "Live" in production using production credentials.</w:t>
      </w:r>
    </w:p>
    <w:p w:rsidR="00000000" w:rsidDel="00000000" w:rsidP="00000000" w:rsidRDefault="00000000" w:rsidRPr="00000000" w14:paraId="0000004F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zc7ls5bg92tg" w:id="11"/>
      <w:bookmarkEnd w:id="1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🛡️ Security Guardrails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Logical Siloing</w:t>
      </w:r>
      <w:r w:rsidDel="00000000" w:rsidR="00000000" w:rsidRPr="00000000">
        <w:rPr>
          <w:color w:val="1f1f1f"/>
          <w:rtl w:val="0"/>
        </w:rPr>
        <w:t xml:space="preserve">: Every Firestore query is prefixed with the </w:t>
      </w:r>
      <w:r w:rsidDel="00000000" w:rsidR="00000000" w:rsidRPr="00000000">
        <w:rPr>
          <w:color w:val="444746"/>
          <w:shd w:fill="e9eef6" w:val="clear"/>
          <w:rtl w:val="0"/>
        </w:rPr>
        <w:t xml:space="preserve">subscriberId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Security Rules</w:t>
      </w:r>
      <w:r w:rsidDel="00000000" w:rsidR="00000000" w:rsidRPr="00000000">
        <w:rPr>
          <w:color w:val="1f1f1f"/>
          <w:rtl w:val="0"/>
        </w:rPr>
        <w:t xml:space="preserve">: Firestore blocks any request where </w:t>
      </w:r>
      <w:r w:rsidDel="00000000" w:rsidR="00000000" w:rsidRPr="00000000">
        <w:rPr>
          <w:color w:val="444746"/>
          <w:shd w:fill="e9eef6" w:val="clear"/>
          <w:rtl w:val="0"/>
        </w:rPr>
        <w:t xml:space="preserve">request.auth.token.orgId != resource.data.orgId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Secret Management</w:t>
      </w:r>
      <w:r w:rsidDel="00000000" w:rsidR="00000000" w:rsidRPr="00000000">
        <w:rPr>
          <w:color w:val="1f1f1f"/>
          <w:rtl w:val="0"/>
        </w:rPr>
        <w:t xml:space="preserve">: API keys are never returned to the UI; they stay in the Cloud Functions' memory or are fetched from Google Secret Manager.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Is this document comprehensive enough for your documentation, or should we add a section on the "Logging &amp; Auditing" framework?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</w:rPr>
        <w:drawing>
          <wp:inline distB="114300" distT="114300" distL="114300" distR="114300">
            <wp:extent cx="5943600" cy="6832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3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</w:rPr>
        <w:drawing>
          <wp:inline distB="114300" distT="114300" distL="114300" distR="114300">
            <wp:extent cx="5943600" cy="48768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734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