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1673" w14:textId="77777777" w:rsidR="00374ED9" w:rsidRDefault="00374ED9" w:rsidP="00212395">
      <w:pPr>
        <w:jc w:val="both"/>
      </w:pPr>
    </w:p>
    <w:p w14:paraId="24FEE414" w14:textId="173D17CF" w:rsidR="00212395" w:rsidRPr="00212395" w:rsidRDefault="00212395" w:rsidP="00212395">
      <w:pPr>
        <w:jc w:val="both"/>
      </w:pPr>
      <w:r w:rsidRPr="00212395">
        <w:t>Back-Testing the "Wheel Strategy" on NVIDIA Corporation (NVDA): A Derivatives-Based Income Generation Framework for Retail Investors</w:t>
      </w:r>
    </w:p>
    <w:p w14:paraId="6180A84F" w14:textId="79B500BB" w:rsidR="00212395" w:rsidRPr="00212395" w:rsidRDefault="00374ED9" w:rsidP="00212395">
      <w:pPr>
        <w:jc w:val="both"/>
        <w:rPr>
          <w:b/>
          <w:bCs/>
          <w:color w:val="3B3838" w:themeColor="background2" w:themeShade="40"/>
          <w:sz w:val="28"/>
          <w:szCs w:val="28"/>
          <w:u w:val="single"/>
        </w:rPr>
      </w:pPr>
      <w:r>
        <w:rPr>
          <w:b/>
          <w:bCs/>
          <w:color w:val="3B3838" w:themeColor="background2" w:themeShade="40"/>
          <w:sz w:val="28"/>
          <w:szCs w:val="28"/>
          <w:u w:val="single"/>
        </w:rPr>
        <w:t>1.</w:t>
      </w:r>
      <w:r w:rsidR="00212395" w:rsidRPr="00212395">
        <w:rPr>
          <w:b/>
          <w:bCs/>
          <w:color w:val="3B3838" w:themeColor="background2" w:themeShade="40"/>
          <w:sz w:val="28"/>
          <w:szCs w:val="28"/>
          <w:u w:val="single"/>
        </w:rPr>
        <w:t>Introduction</w:t>
      </w:r>
      <w:r w:rsidRPr="00374ED9">
        <w:rPr>
          <w:b/>
          <w:bCs/>
          <w:color w:val="3B3838" w:themeColor="background2" w:themeShade="40"/>
          <w:sz w:val="28"/>
          <w:szCs w:val="28"/>
          <w:u w:val="single"/>
        </w:rPr>
        <w:t>:</w:t>
      </w:r>
    </w:p>
    <w:p w14:paraId="1FC5BEC2" w14:textId="18ABF0AF" w:rsidR="00212395" w:rsidRPr="00212395" w:rsidRDefault="00212395" w:rsidP="00212395">
      <w:pPr>
        <w:jc w:val="both"/>
      </w:pPr>
      <w:r w:rsidRPr="00212395">
        <w:t xml:space="preserve">Options markets offer retail investors a wide range of strategies that go far beyond simple speculation. One increasingly popular approach among retail participants is the </w:t>
      </w:r>
      <w:r w:rsidRPr="00212395">
        <w:rPr>
          <w:b/>
          <w:bCs/>
        </w:rPr>
        <w:t>Wheel Strategy</w:t>
      </w:r>
      <w:r w:rsidRPr="00212395">
        <w:t xml:space="preserve"> a systematic, income-generating options strategy that relies on the repeated selling of cash-secured puts and covered calls. Despite its growing popularity, there is limited rigorous empirical analysis of how well this strategy actually performs when applied consistently over time, particularly on a high-volatility, high-profile stock like NVIDIA Corporation (NVDA).</w:t>
      </w:r>
    </w:p>
    <w:p w14:paraId="631AA826" w14:textId="37364A06" w:rsidR="00212395" w:rsidRPr="00212395" w:rsidRDefault="00212395" w:rsidP="00212395">
      <w:pPr>
        <w:jc w:val="both"/>
      </w:pPr>
      <w:r w:rsidRPr="00212395">
        <w:t>This project aims to fill that gap by conducting a structured back-test of the Wheel Strategy on NVDA over a defined historical period, evaluating its risk-adjusted performance, and comparing it against a simple buy-and-hold benchmark.</w:t>
      </w:r>
    </w:p>
    <w:p w14:paraId="10B1A721" w14:textId="400E5DA2" w:rsidR="00212395" w:rsidRPr="00212395" w:rsidRDefault="00374ED9" w:rsidP="00212395">
      <w:pPr>
        <w:jc w:val="both"/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</w:pP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2.</w:t>
      </w:r>
      <w:r w:rsidR="00212395" w:rsidRPr="00212395"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Why This Topic</w:t>
      </w: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:</w:t>
      </w:r>
    </w:p>
    <w:p w14:paraId="6E08BD2A" w14:textId="78F1714F" w:rsidR="00212395" w:rsidRPr="00212395" w:rsidRDefault="00212395" w:rsidP="00212395">
      <w:pPr>
        <w:jc w:val="both"/>
      </w:pPr>
      <w:r w:rsidRPr="00212395">
        <w:t>NVIDIA has been one of the most actively traded and volatile large-cap stocks in recent years, driven by the AI boom, earnings surprises, and macroeconomic swings. This makes it an ideal and challenging testing ground for an options-based income strategy. Additionally, the Wheel Strategy is directly relevant to the everyday retail investor unlike many derivatives strategies that require institutional infrastructure, the Wheel can theoretically be executed in a standard brokerage account. We believe studying its real-world performance on a stock like NVDA produces findings that are both academically interesting and practically useful.</w:t>
      </w:r>
    </w:p>
    <w:p w14:paraId="604DE58C" w14:textId="022ADA56" w:rsidR="00212395" w:rsidRPr="00212395" w:rsidRDefault="00374ED9" w:rsidP="00212395">
      <w:pPr>
        <w:jc w:val="both"/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</w:pP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3.</w:t>
      </w:r>
      <w:r w:rsidR="00212395" w:rsidRPr="00212395"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Aspects We Will Focus On</w:t>
      </w: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:</w:t>
      </w:r>
    </w:p>
    <w:p w14:paraId="276C1E47" w14:textId="77777777" w:rsidR="00212395" w:rsidRPr="00212395" w:rsidRDefault="00212395" w:rsidP="00212395">
      <w:pPr>
        <w:numPr>
          <w:ilvl w:val="0"/>
          <w:numId w:val="1"/>
        </w:numPr>
        <w:jc w:val="both"/>
      </w:pPr>
      <w:r w:rsidRPr="00212395">
        <w:rPr>
          <w:b/>
          <w:bCs/>
        </w:rPr>
        <w:t>Contract Design &amp; Mechanics</w:t>
      </w:r>
      <w:r w:rsidRPr="00212395">
        <w:t xml:space="preserve"> — How cash-secured puts and covered calls function as derivative instruments, and how the Wheel combines them into a structured cycle.</w:t>
      </w:r>
    </w:p>
    <w:p w14:paraId="79D24B47" w14:textId="77777777" w:rsidR="00212395" w:rsidRPr="00212395" w:rsidRDefault="00212395" w:rsidP="00212395">
      <w:pPr>
        <w:numPr>
          <w:ilvl w:val="0"/>
          <w:numId w:val="1"/>
        </w:numPr>
        <w:jc w:val="both"/>
      </w:pPr>
      <w:r w:rsidRPr="00212395">
        <w:rPr>
          <w:b/>
          <w:bCs/>
        </w:rPr>
        <w:t>Back-Testing Methodology</w:t>
      </w:r>
      <w:r w:rsidRPr="00212395">
        <w:t xml:space="preserve"> — Applying a consistent, rules-based strategy (fixed delta, fixed days-to-expiration) to historical NVDA options data to simulate real trading outcomes.</w:t>
      </w:r>
    </w:p>
    <w:p w14:paraId="139ED98F" w14:textId="77777777" w:rsidR="00212395" w:rsidRPr="00212395" w:rsidRDefault="00212395" w:rsidP="00212395">
      <w:pPr>
        <w:numPr>
          <w:ilvl w:val="0"/>
          <w:numId w:val="1"/>
        </w:numPr>
        <w:jc w:val="both"/>
      </w:pPr>
      <w:r w:rsidRPr="00212395">
        <w:rPr>
          <w:b/>
          <w:bCs/>
        </w:rPr>
        <w:t>Performance Evaluation</w:t>
      </w:r>
      <w:r w:rsidRPr="00212395">
        <w:t xml:space="preserve"> — Measuring total return, annualized yield, win rate, and maximum drawdown of the strategy.</w:t>
      </w:r>
    </w:p>
    <w:p w14:paraId="500CF2AE" w14:textId="77777777" w:rsidR="00212395" w:rsidRPr="00212395" w:rsidRDefault="00212395" w:rsidP="00212395">
      <w:pPr>
        <w:numPr>
          <w:ilvl w:val="0"/>
          <w:numId w:val="1"/>
        </w:numPr>
        <w:jc w:val="both"/>
      </w:pPr>
      <w:r w:rsidRPr="00212395">
        <w:rPr>
          <w:b/>
          <w:bCs/>
        </w:rPr>
        <w:t>Risk Analysis</w:t>
      </w:r>
      <w:r w:rsidRPr="00212395">
        <w:t xml:space="preserve"> — Examining how the strategy behaved during periods of sharp NVDA drawdowns (e.g., 2022 bear market, late 2024 corrections) to assess downside exposure.</w:t>
      </w:r>
    </w:p>
    <w:p w14:paraId="3482D2EC" w14:textId="6D78AC4E" w:rsidR="00212395" w:rsidRPr="00212395" w:rsidRDefault="00212395" w:rsidP="00212395">
      <w:pPr>
        <w:numPr>
          <w:ilvl w:val="0"/>
          <w:numId w:val="1"/>
        </w:numPr>
        <w:jc w:val="both"/>
      </w:pPr>
      <w:r w:rsidRPr="00212395">
        <w:rPr>
          <w:b/>
          <w:bCs/>
        </w:rPr>
        <w:t>Benchmark Comparison</w:t>
      </w:r>
      <w:r w:rsidRPr="00212395">
        <w:t xml:space="preserve"> — Comparing Wheel Strategy returns against a passive buy-and-hold position in NVDA over the same period.</w:t>
      </w:r>
    </w:p>
    <w:p w14:paraId="19E28998" w14:textId="4106B77C" w:rsidR="00212395" w:rsidRPr="00212395" w:rsidRDefault="00374ED9" w:rsidP="00212395">
      <w:pPr>
        <w:jc w:val="both"/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</w:pP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lastRenderedPageBreak/>
        <w:t>4.</w:t>
      </w:r>
      <w:r w:rsidR="00212395" w:rsidRPr="00212395"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Methodology</w:t>
      </w: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:</w:t>
      </w:r>
    </w:p>
    <w:p w14:paraId="22C5483D" w14:textId="77777777" w:rsidR="00212395" w:rsidRPr="00212395" w:rsidRDefault="00212395" w:rsidP="00212395">
      <w:pPr>
        <w:jc w:val="both"/>
      </w:pPr>
      <w:r w:rsidRPr="00212395">
        <w:t>Our back-test will follow a strict, rules-based framework to ensure consistency and avoid look-ahead bias:</w:t>
      </w:r>
    </w:p>
    <w:p w14:paraId="05711299" w14:textId="77777777" w:rsidR="00212395" w:rsidRPr="00212395" w:rsidRDefault="00212395" w:rsidP="00212395">
      <w:pPr>
        <w:numPr>
          <w:ilvl w:val="0"/>
          <w:numId w:val="2"/>
        </w:numPr>
        <w:jc w:val="both"/>
      </w:pPr>
      <w:r w:rsidRPr="00212395">
        <w:rPr>
          <w:b/>
          <w:bCs/>
        </w:rPr>
        <w:t>Step 1 — Sell Cash-Secured Put:</w:t>
      </w:r>
      <w:r w:rsidRPr="00212395">
        <w:t xml:space="preserve"> At the start of each cycle, sell a 30-delta put on NVDA with approximately 30 days to expiration (DTE). Collect the premium.</w:t>
      </w:r>
    </w:p>
    <w:p w14:paraId="5DE3212A" w14:textId="77777777" w:rsidR="00212395" w:rsidRPr="00212395" w:rsidRDefault="00212395" w:rsidP="00212395">
      <w:pPr>
        <w:numPr>
          <w:ilvl w:val="0"/>
          <w:numId w:val="2"/>
        </w:numPr>
        <w:jc w:val="both"/>
      </w:pPr>
      <w:r w:rsidRPr="00212395">
        <w:rPr>
          <w:b/>
          <w:bCs/>
        </w:rPr>
        <w:t>Step 2 — Assignment or Expiry:</w:t>
      </w:r>
      <w:r w:rsidRPr="00212395">
        <w:t xml:space="preserve"> If the put expires worthless, repeat Step 1. If assigned, acquire 100 shares of NVDA at the strike price.</w:t>
      </w:r>
    </w:p>
    <w:p w14:paraId="6D7C4131" w14:textId="77777777" w:rsidR="00212395" w:rsidRPr="00212395" w:rsidRDefault="00212395" w:rsidP="00212395">
      <w:pPr>
        <w:numPr>
          <w:ilvl w:val="0"/>
          <w:numId w:val="2"/>
        </w:numPr>
        <w:jc w:val="both"/>
      </w:pPr>
      <w:r w:rsidRPr="00212395">
        <w:rPr>
          <w:b/>
          <w:bCs/>
        </w:rPr>
        <w:t>Step 3 — Sell Covered Call:</w:t>
      </w:r>
      <w:r w:rsidRPr="00212395">
        <w:t xml:space="preserve"> Once shares are held, sell a 30-delta covered call with 30 DTE to collect additional premium.</w:t>
      </w:r>
    </w:p>
    <w:p w14:paraId="52DDD515" w14:textId="77777777" w:rsidR="00212395" w:rsidRPr="00212395" w:rsidRDefault="00212395" w:rsidP="00212395">
      <w:pPr>
        <w:numPr>
          <w:ilvl w:val="0"/>
          <w:numId w:val="2"/>
        </w:numPr>
        <w:jc w:val="both"/>
      </w:pPr>
      <w:r w:rsidRPr="00212395">
        <w:rPr>
          <w:b/>
          <w:bCs/>
        </w:rPr>
        <w:t>Step 4 — Repeat:</w:t>
      </w:r>
      <w:r w:rsidRPr="00212395">
        <w:t xml:space="preserve"> If the call expires worthless, sell another covered call. If shares are called away, return to Step 1.</w:t>
      </w:r>
    </w:p>
    <w:p w14:paraId="23447034" w14:textId="49BE56DC" w:rsidR="00212395" w:rsidRPr="00212395" w:rsidRDefault="00374ED9" w:rsidP="00212395">
      <w:pPr>
        <w:jc w:val="both"/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</w:pP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5.</w:t>
      </w:r>
      <w:r w:rsidR="00212395" w:rsidRPr="00212395"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Key Parameters:</w:t>
      </w:r>
    </w:p>
    <w:p w14:paraId="1391521C" w14:textId="49770CC5" w:rsidR="00212395" w:rsidRPr="00212395" w:rsidRDefault="00212395" w:rsidP="00212395">
      <w:pPr>
        <w:numPr>
          <w:ilvl w:val="0"/>
          <w:numId w:val="3"/>
        </w:numPr>
        <w:jc w:val="both"/>
      </w:pPr>
      <w:r w:rsidRPr="00212395">
        <w:t>Delta target: 0.30 (balancing premium income and assignment risk)</w:t>
      </w:r>
    </w:p>
    <w:p w14:paraId="4907C022" w14:textId="7731B2B6" w:rsidR="00212395" w:rsidRPr="00212395" w:rsidRDefault="00212395" w:rsidP="00212395">
      <w:pPr>
        <w:numPr>
          <w:ilvl w:val="0"/>
          <w:numId w:val="3"/>
        </w:numPr>
        <w:jc w:val="both"/>
      </w:pPr>
      <w:r w:rsidRPr="00212395">
        <w:t>Days to expiration: 30 DTE</w:t>
      </w:r>
    </w:p>
    <w:p w14:paraId="4962A886" w14:textId="77777777" w:rsidR="00212395" w:rsidRPr="00212395" w:rsidRDefault="00212395" w:rsidP="00212395">
      <w:pPr>
        <w:numPr>
          <w:ilvl w:val="0"/>
          <w:numId w:val="3"/>
        </w:numPr>
        <w:jc w:val="both"/>
      </w:pPr>
      <w:r w:rsidRPr="00212395">
        <w:t>Position size: 1 contract (100 shares) per cycle</w:t>
      </w:r>
    </w:p>
    <w:p w14:paraId="68E80427" w14:textId="77777777" w:rsidR="00212395" w:rsidRPr="00212395" w:rsidRDefault="00212395" w:rsidP="00212395">
      <w:pPr>
        <w:numPr>
          <w:ilvl w:val="0"/>
          <w:numId w:val="3"/>
        </w:numPr>
        <w:jc w:val="both"/>
      </w:pPr>
      <w:r w:rsidRPr="00212395">
        <w:t>Transaction costs: Estimated at $0.65 per contract (TD Ameritrade/Schwab standard retail pricing)</w:t>
      </w:r>
    </w:p>
    <w:p w14:paraId="613F9466" w14:textId="407EE188" w:rsidR="00212395" w:rsidRPr="00212395" w:rsidRDefault="00212395" w:rsidP="00212395">
      <w:pPr>
        <w:numPr>
          <w:ilvl w:val="0"/>
          <w:numId w:val="3"/>
        </w:numPr>
        <w:jc w:val="both"/>
      </w:pPr>
      <w:r w:rsidRPr="00212395">
        <w:t>Time period: January 2020 – December 2024</w:t>
      </w:r>
    </w:p>
    <w:p w14:paraId="5F2CF91A" w14:textId="39B9EA43" w:rsidR="00212395" w:rsidRPr="00212395" w:rsidRDefault="00374ED9" w:rsidP="00212395">
      <w:pPr>
        <w:jc w:val="both"/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</w:pP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6.</w:t>
      </w:r>
      <w:r w:rsidR="00212395" w:rsidRPr="00212395"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Database</w:t>
      </w: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: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662"/>
      </w:tblGrid>
      <w:tr w:rsidR="00212395" w:rsidRPr="00212395" w14:paraId="729FC758" w14:textId="77777777" w:rsidTr="00212395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5B5D3170" w14:textId="77777777" w:rsidR="00212395" w:rsidRPr="00212395" w:rsidRDefault="00212395" w:rsidP="00212395">
            <w:pPr>
              <w:jc w:val="center"/>
              <w:rPr>
                <w:b/>
                <w:bCs/>
              </w:rPr>
            </w:pPr>
            <w:r w:rsidRPr="00212395">
              <w:rPr>
                <w:b/>
                <w:bCs/>
              </w:rPr>
              <w:t>Source</w:t>
            </w:r>
          </w:p>
        </w:tc>
        <w:tc>
          <w:tcPr>
            <w:tcW w:w="6617" w:type="dxa"/>
            <w:vAlign w:val="center"/>
            <w:hideMark/>
          </w:tcPr>
          <w:p w14:paraId="213E6B1C" w14:textId="77777777" w:rsidR="00212395" w:rsidRPr="00212395" w:rsidRDefault="00212395" w:rsidP="00212395">
            <w:pPr>
              <w:jc w:val="center"/>
              <w:rPr>
                <w:b/>
                <w:bCs/>
              </w:rPr>
            </w:pPr>
            <w:r w:rsidRPr="00212395">
              <w:rPr>
                <w:b/>
                <w:bCs/>
              </w:rPr>
              <w:t>Data Used</w:t>
            </w:r>
          </w:p>
        </w:tc>
      </w:tr>
      <w:tr w:rsidR="00212395" w:rsidRPr="00212395" w14:paraId="3880C9F5" w14:textId="77777777" w:rsidTr="00212395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6AF6151" w14:textId="77777777" w:rsidR="00212395" w:rsidRPr="00212395" w:rsidRDefault="00212395" w:rsidP="00212395">
            <w:pPr>
              <w:jc w:val="both"/>
            </w:pPr>
            <w:proofErr w:type="spellStart"/>
            <w:r w:rsidRPr="00212395">
              <w:rPr>
                <w:b/>
                <w:bCs/>
              </w:rPr>
              <w:t>OptionsDX</w:t>
            </w:r>
            <w:proofErr w:type="spellEnd"/>
            <w:r w:rsidRPr="00212395">
              <w:rPr>
                <w:b/>
                <w:bCs/>
              </w:rPr>
              <w:t xml:space="preserve"> / </w:t>
            </w:r>
            <w:proofErr w:type="spellStart"/>
            <w:r w:rsidRPr="00212395">
              <w:rPr>
                <w:b/>
                <w:bCs/>
              </w:rPr>
              <w:t>Barchart</w:t>
            </w:r>
            <w:proofErr w:type="spellEnd"/>
          </w:p>
        </w:tc>
        <w:tc>
          <w:tcPr>
            <w:tcW w:w="6617" w:type="dxa"/>
            <w:vAlign w:val="center"/>
            <w:hideMark/>
          </w:tcPr>
          <w:p w14:paraId="4135656C" w14:textId="77777777" w:rsidR="00212395" w:rsidRPr="00212395" w:rsidRDefault="00212395" w:rsidP="00212395">
            <w:pPr>
              <w:jc w:val="both"/>
            </w:pPr>
            <w:r w:rsidRPr="00212395">
              <w:t>Historical NVDA options chains (strike, premium, delta, expiry)</w:t>
            </w:r>
          </w:p>
        </w:tc>
      </w:tr>
      <w:tr w:rsidR="00212395" w:rsidRPr="00212395" w14:paraId="7EEB20F4" w14:textId="77777777" w:rsidTr="00212395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FD0A128" w14:textId="77777777" w:rsidR="00212395" w:rsidRPr="00212395" w:rsidRDefault="00212395" w:rsidP="00212395">
            <w:pPr>
              <w:jc w:val="both"/>
            </w:pPr>
            <w:r w:rsidRPr="00212395">
              <w:rPr>
                <w:b/>
                <w:bCs/>
              </w:rPr>
              <w:t>Yahoo Finance</w:t>
            </w:r>
          </w:p>
        </w:tc>
        <w:tc>
          <w:tcPr>
            <w:tcW w:w="6617" w:type="dxa"/>
            <w:vAlign w:val="center"/>
            <w:hideMark/>
          </w:tcPr>
          <w:p w14:paraId="41C35D9D" w14:textId="77777777" w:rsidR="00212395" w:rsidRPr="00212395" w:rsidRDefault="00212395" w:rsidP="00212395">
            <w:pPr>
              <w:jc w:val="both"/>
            </w:pPr>
            <w:r w:rsidRPr="00212395">
              <w:t>NVDA historical stock prices</w:t>
            </w:r>
          </w:p>
        </w:tc>
      </w:tr>
      <w:tr w:rsidR="00212395" w:rsidRPr="00212395" w14:paraId="04A5A4B8" w14:textId="77777777" w:rsidTr="00212395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1D5C3770" w14:textId="77777777" w:rsidR="00212395" w:rsidRPr="00212395" w:rsidRDefault="00212395" w:rsidP="00212395">
            <w:pPr>
              <w:jc w:val="both"/>
            </w:pPr>
            <w:r w:rsidRPr="00212395">
              <w:rPr>
                <w:b/>
                <w:bCs/>
              </w:rPr>
              <w:t>CBOE</w:t>
            </w:r>
          </w:p>
        </w:tc>
        <w:tc>
          <w:tcPr>
            <w:tcW w:w="6617" w:type="dxa"/>
            <w:vAlign w:val="center"/>
            <w:hideMark/>
          </w:tcPr>
          <w:p w14:paraId="75C794D5" w14:textId="77777777" w:rsidR="00212395" w:rsidRPr="00212395" w:rsidRDefault="00212395" w:rsidP="00212395">
            <w:pPr>
              <w:jc w:val="both"/>
            </w:pPr>
            <w:r w:rsidRPr="00212395">
              <w:t>Implied volatility data (VIX and NVDA-specific IV)</w:t>
            </w:r>
          </w:p>
        </w:tc>
      </w:tr>
      <w:tr w:rsidR="00212395" w:rsidRPr="00212395" w14:paraId="10B877E5" w14:textId="77777777" w:rsidTr="00212395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1ACEBB3" w14:textId="77777777" w:rsidR="00212395" w:rsidRPr="00212395" w:rsidRDefault="00212395" w:rsidP="00212395">
            <w:pPr>
              <w:jc w:val="both"/>
            </w:pPr>
            <w:r w:rsidRPr="00212395">
              <w:rPr>
                <w:b/>
                <w:bCs/>
              </w:rPr>
              <w:t>SEC EDGAR</w:t>
            </w:r>
          </w:p>
        </w:tc>
        <w:tc>
          <w:tcPr>
            <w:tcW w:w="6617" w:type="dxa"/>
            <w:vAlign w:val="center"/>
            <w:hideMark/>
          </w:tcPr>
          <w:p w14:paraId="41DB2F75" w14:textId="77777777" w:rsidR="00212395" w:rsidRPr="00212395" w:rsidRDefault="00212395" w:rsidP="00212395">
            <w:pPr>
              <w:jc w:val="both"/>
            </w:pPr>
            <w:r w:rsidRPr="00212395">
              <w:t>NVDA earnings dates to flag high-volatility periods</w:t>
            </w:r>
          </w:p>
        </w:tc>
      </w:tr>
    </w:tbl>
    <w:p w14:paraId="0FDC3E3F" w14:textId="487F36F4" w:rsidR="00212395" w:rsidRPr="00212395" w:rsidRDefault="00212395" w:rsidP="00212395">
      <w:pPr>
        <w:jc w:val="both"/>
      </w:pPr>
    </w:p>
    <w:p w14:paraId="0F4CB741" w14:textId="2C5CF17F" w:rsidR="00212395" w:rsidRPr="00212395" w:rsidRDefault="00374ED9" w:rsidP="00212395">
      <w:pPr>
        <w:jc w:val="both"/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</w:pP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7.</w:t>
      </w:r>
      <w:r w:rsidR="00212395" w:rsidRPr="00212395"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Expected Outcome</w:t>
      </w:r>
      <w:r>
        <w:rPr>
          <w:b/>
          <w:bCs/>
          <w:i/>
          <w:iCs/>
          <w:color w:val="3B3838" w:themeColor="background2" w:themeShade="40"/>
          <w:sz w:val="28"/>
          <w:szCs w:val="28"/>
          <w:u w:val="single"/>
        </w:rPr>
        <w:t>:</w:t>
      </w:r>
    </w:p>
    <w:p w14:paraId="0D1EED37" w14:textId="77777777" w:rsidR="00212395" w:rsidRPr="00212395" w:rsidRDefault="00212395" w:rsidP="00212395">
      <w:pPr>
        <w:jc w:val="both"/>
      </w:pPr>
      <w:r w:rsidRPr="00212395">
        <w:t xml:space="preserve">We expect the Wheel Strategy to generate consistent premium income in sideways and moderately bullish markets, but to significantly underperform a buy-and-hold strategy during NVDA's explosive rally periods. We also expect to find meaningful downside risk during sharp </w:t>
      </w:r>
      <w:r w:rsidRPr="00212395">
        <w:lastRenderedPageBreak/>
        <w:t>corrections, which will allow us to make nuanced conclusions about when and for whom this strategy is appropriate.</w:t>
      </w:r>
    </w:p>
    <w:p w14:paraId="767F1E16" w14:textId="536C0961" w:rsidR="00212395" w:rsidRPr="00212395" w:rsidRDefault="00212395" w:rsidP="00212395">
      <w:pPr>
        <w:jc w:val="both"/>
      </w:pPr>
    </w:p>
    <w:p w14:paraId="77F7DD32" w14:textId="77777777" w:rsidR="00374ED9" w:rsidRDefault="00212395" w:rsidP="00374ED9">
      <w:pPr>
        <w:rPr>
          <w:i/>
          <w:iCs/>
        </w:rPr>
      </w:pPr>
      <w:r w:rsidRPr="00212395">
        <w:rPr>
          <w:i/>
          <w:iCs/>
        </w:rPr>
        <w:t xml:space="preserve">Submitted by: </w:t>
      </w:r>
      <w:r w:rsidR="00374ED9">
        <w:rPr>
          <w:i/>
          <w:iCs/>
        </w:rPr>
        <w:t>Group 8</w:t>
      </w:r>
    </w:p>
    <w:p w14:paraId="2F3A2E5A" w14:textId="77777777" w:rsidR="00374ED9" w:rsidRDefault="00374ED9" w:rsidP="00374ED9">
      <w:pPr>
        <w:rPr>
          <w:i/>
          <w:iCs/>
        </w:rPr>
      </w:pPr>
      <w:r>
        <w:rPr>
          <w:i/>
          <w:iCs/>
        </w:rPr>
        <w:t>Abhi Pradhan</w:t>
      </w:r>
    </w:p>
    <w:p w14:paraId="67FA6D52" w14:textId="77777777" w:rsidR="00374ED9" w:rsidRDefault="00374ED9" w:rsidP="00374ED9">
      <w:pPr>
        <w:rPr>
          <w:i/>
          <w:iCs/>
        </w:rPr>
      </w:pPr>
      <w:r>
        <w:rPr>
          <w:i/>
          <w:iCs/>
        </w:rPr>
        <w:t>Aditya Nair</w:t>
      </w:r>
    </w:p>
    <w:p w14:paraId="73B54066" w14:textId="3C38DBFA" w:rsidR="00374ED9" w:rsidRDefault="00374ED9" w:rsidP="00374ED9">
      <w:pPr>
        <w:rPr>
          <w:i/>
          <w:iCs/>
        </w:rPr>
      </w:pPr>
      <w:r>
        <w:rPr>
          <w:i/>
          <w:iCs/>
        </w:rPr>
        <w:t>Chih-Wei (Eva) Kuo</w:t>
      </w:r>
    </w:p>
    <w:p w14:paraId="05B21A4C" w14:textId="6C5BCA3A" w:rsidR="00212395" w:rsidRPr="00212395" w:rsidRDefault="00374ED9" w:rsidP="00374ED9">
      <w:r>
        <w:rPr>
          <w:i/>
          <w:iCs/>
        </w:rPr>
        <w:t xml:space="preserve">Lucy Ganyani </w:t>
      </w:r>
      <w:r w:rsidR="00212395" w:rsidRPr="00212395">
        <w:br/>
      </w:r>
    </w:p>
    <w:p w14:paraId="0E424EEA" w14:textId="77777777" w:rsidR="004D1762" w:rsidRDefault="004D1762" w:rsidP="00212395">
      <w:pPr>
        <w:jc w:val="both"/>
      </w:pPr>
    </w:p>
    <w:sectPr w:rsidR="004D1762" w:rsidSect="00374ED9">
      <w:headerReference w:type="default" r:id="rId7"/>
      <w:pgSz w:w="11906" w:h="16838"/>
      <w:pgMar w:top="1269" w:right="1274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40805" w14:textId="77777777" w:rsidR="00376545" w:rsidRDefault="00376545" w:rsidP="00212395">
      <w:pPr>
        <w:spacing w:after="0" w:line="240" w:lineRule="auto"/>
      </w:pPr>
      <w:r>
        <w:separator/>
      </w:r>
    </w:p>
  </w:endnote>
  <w:endnote w:type="continuationSeparator" w:id="0">
    <w:p w14:paraId="4E662122" w14:textId="77777777" w:rsidR="00376545" w:rsidRDefault="00376545" w:rsidP="00212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D7DF" w14:textId="77777777" w:rsidR="00376545" w:rsidRDefault="00376545" w:rsidP="00212395">
      <w:pPr>
        <w:spacing w:after="0" w:line="240" w:lineRule="auto"/>
      </w:pPr>
      <w:r>
        <w:separator/>
      </w:r>
    </w:p>
  </w:footnote>
  <w:footnote w:type="continuationSeparator" w:id="0">
    <w:p w14:paraId="44AAC1AE" w14:textId="77777777" w:rsidR="00376545" w:rsidRDefault="00376545" w:rsidP="002123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28F6A" w14:textId="6F2B6D1C" w:rsidR="00212395" w:rsidRPr="00212395" w:rsidRDefault="00212395" w:rsidP="00212395">
    <w:pPr>
      <w:pStyle w:val="Heading2"/>
      <w:jc w:val="center"/>
      <w:rPr>
        <w:b/>
        <w:bCs/>
        <w:sz w:val="28"/>
        <w:szCs w:val="28"/>
      </w:rPr>
    </w:pPr>
    <w:r w:rsidRPr="00212395">
      <w:rPr>
        <w:b/>
        <w:bCs/>
        <w:sz w:val="28"/>
        <w:szCs w:val="28"/>
      </w:rPr>
      <w:t>Term Project Proposal:</w:t>
    </w:r>
    <w:r w:rsidRPr="00212395">
      <w:rPr>
        <w:b/>
        <w:bCs/>
        <w:sz w:val="28"/>
        <w:szCs w:val="28"/>
      </w:rPr>
      <w:t xml:space="preserve"> </w:t>
    </w:r>
    <w:r w:rsidRPr="00212395">
      <w:rPr>
        <w:sz w:val="28"/>
        <w:szCs w:val="28"/>
      </w:rPr>
      <w:t>Back-Testing the Wheel Strategy on NVIDIA Using Options Contracts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3C0"/>
    <w:multiLevelType w:val="multilevel"/>
    <w:tmpl w:val="C6B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3669A"/>
    <w:multiLevelType w:val="multilevel"/>
    <w:tmpl w:val="C99E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1169D"/>
    <w:multiLevelType w:val="multilevel"/>
    <w:tmpl w:val="5D424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660665">
    <w:abstractNumId w:val="2"/>
  </w:num>
  <w:num w:numId="2" w16cid:durableId="1911192464">
    <w:abstractNumId w:val="1"/>
  </w:num>
  <w:num w:numId="3" w16cid:durableId="50718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62"/>
    <w:rsid w:val="00212395"/>
    <w:rsid w:val="00374ED9"/>
    <w:rsid w:val="00376545"/>
    <w:rsid w:val="004D1762"/>
    <w:rsid w:val="005E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0B2A5B"/>
  <w15:chartTrackingRefBased/>
  <w15:docId w15:val="{A2DB0E0E-2C2F-49AB-9F57-F791130B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7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395"/>
  </w:style>
  <w:style w:type="paragraph" w:styleId="Footer">
    <w:name w:val="footer"/>
    <w:basedOn w:val="Normal"/>
    <w:link w:val="FooterChar"/>
    <w:uiPriority w:val="99"/>
    <w:unhideWhenUsed/>
    <w:rsid w:val="002123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shivkumar Nair</dc:creator>
  <cp:keywords/>
  <dc:description/>
  <cp:lastModifiedBy>Aditya shivkumar Nair</cp:lastModifiedBy>
  <cp:revision>2</cp:revision>
  <dcterms:created xsi:type="dcterms:W3CDTF">2026-03-04T17:37:00Z</dcterms:created>
  <dcterms:modified xsi:type="dcterms:W3CDTF">2026-03-04T17:55:00Z</dcterms:modified>
</cp:coreProperties>
</file>