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829D8" w14:textId="77777777" w:rsidR="001D27DC" w:rsidRDefault="001D27DC" w:rsidP="00267281">
      <w:pPr>
        <w:pStyle w:val="CaptionTableFig"/>
        <w:rPr>
          <w:sz w:val="20"/>
          <w:szCs w:val="20"/>
        </w:rPr>
      </w:pPr>
      <w:r>
        <w:rPr>
          <w:sz w:val="20"/>
        </w:rPr>
        <w:t xml:space="preserve">Figure S1. </w:t>
      </w:r>
      <w:r>
        <w:rPr>
          <w:sz w:val="20"/>
          <w:szCs w:val="20"/>
        </w:rPr>
        <w:t>Relative abundance of UNITE database fungal genus assignments of non-singleton (n &gt; 1) culturable endophyte based on internal transcribed spacer (ITS) sequences from roots of seedlings grown in potting mix amended with steam-treated, plantation, and forest soil.</w:t>
      </w:r>
    </w:p>
    <w:p w14:paraId="668A05A1" w14:textId="77777777" w:rsidR="001D27DC" w:rsidRDefault="001D27DC" w:rsidP="001D27DC">
      <w:pPr>
        <w:pStyle w:val="CaptionTableFig"/>
        <w:rPr>
          <w:sz w:val="20"/>
        </w:rPr>
      </w:pPr>
    </w:p>
    <w:p w14:paraId="5806DA3D" w14:textId="77777777" w:rsidR="001D27DC" w:rsidRDefault="001D27DC" w:rsidP="001D27DC">
      <w:pPr>
        <w:pStyle w:val="CaptionTableFig"/>
        <w:rPr>
          <w:sz w:val="20"/>
        </w:rPr>
      </w:pPr>
      <w:r>
        <w:rPr>
          <w:noProof/>
          <w:sz w:val="20"/>
        </w:rPr>
        <w:drawing>
          <wp:inline distT="0" distB="0" distL="0" distR="0" wp14:anchorId="439E2216" wp14:editId="4CA51D8C">
            <wp:extent cx="5719398" cy="3336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us.bars.5.20.20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398" cy="33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2D74" w14:textId="77777777" w:rsidR="001D27DC" w:rsidRDefault="001D27DC" w:rsidP="001D27DC">
      <w:pPr>
        <w:rPr>
          <w:rFonts w:ascii="Times New Roman" w:hAnsi="Times New Roman" w:cs="Times New Roman"/>
          <w:sz w:val="20"/>
        </w:rPr>
      </w:pPr>
      <w:r>
        <w:rPr>
          <w:i/>
          <w:sz w:val="20"/>
        </w:rPr>
        <w:br w:type="page"/>
      </w:r>
    </w:p>
    <w:p w14:paraId="07AF8613" w14:textId="683D6B1B" w:rsidR="001D27DC" w:rsidRDefault="001D27DC" w:rsidP="001D27DC">
      <w:pPr>
        <w:pStyle w:val="CaptionTableFig"/>
        <w:rPr>
          <w:sz w:val="20"/>
        </w:rPr>
      </w:pPr>
      <w:r w:rsidRPr="00FE2233">
        <w:rPr>
          <w:sz w:val="20"/>
        </w:rPr>
        <w:lastRenderedPageBreak/>
        <w:t>Figure S</w:t>
      </w:r>
      <w:r>
        <w:rPr>
          <w:sz w:val="20"/>
        </w:rPr>
        <w:t>2</w:t>
      </w:r>
      <w:r w:rsidRPr="00FE2233">
        <w:rPr>
          <w:sz w:val="20"/>
        </w:rPr>
        <w:t xml:space="preserve">. </w:t>
      </w:r>
      <w:r>
        <w:rPr>
          <w:sz w:val="20"/>
        </w:rPr>
        <w:t>M</w:t>
      </w:r>
      <w:r w:rsidRPr="00FE2233">
        <w:rPr>
          <w:sz w:val="20"/>
        </w:rPr>
        <w:t xml:space="preserve">ajority-rules consensus </w:t>
      </w:r>
      <w:proofErr w:type="spellStart"/>
      <w:r w:rsidRPr="00FE2233">
        <w:rPr>
          <w:sz w:val="20"/>
        </w:rPr>
        <w:t>RAxML</w:t>
      </w:r>
      <w:proofErr w:type="spellEnd"/>
      <w:r>
        <w:rPr>
          <w:sz w:val="20"/>
        </w:rPr>
        <w:t xml:space="preserve"> tree (100 bootstraps, all nodes &gt; 80%) of co</w:t>
      </w:r>
      <w:r w:rsidRPr="00FE2233">
        <w:rPr>
          <w:sz w:val="20"/>
        </w:rPr>
        <w:t>ncatenated ITS</w:t>
      </w:r>
      <w:r>
        <w:rPr>
          <w:sz w:val="20"/>
        </w:rPr>
        <w:t xml:space="preserve"> and </w:t>
      </w:r>
      <w:r w:rsidRPr="00FE2233">
        <w:rPr>
          <w:sz w:val="20"/>
        </w:rPr>
        <w:t>TEF-1a alignments</w:t>
      </w:r>
      <w:r>
        <w:rPr>
          <w:sz w:val="20"/>
        </w:rPr>
        <w:t xml:space="preserve"> (568 alignment patterns) from </w:t>
      </w:r>
      <w:r w:rsidRPr="009C5167">
        <w:rPr>
          <w:i w:val="0"/>
          <w:sz w:val="20"/>
        </w:rPr>
        <w:t>Fusarium</w:t>
      </w:r>
      <w:r>
        <w:rPr>
          <w:sz w:val="20"/>
        </w:rPr>
        <w:t xml:space="preserve"> cultures. Branch lengths proportional to substitutions per site; node values denote number of supporting bootstrap replicates.</w:t>
      </w:r>
      <w:r w:rsidR="00FB4CF9">
        <w:rPr>
          <w:sz w:val="20"/>
        </w:rPr>
        <w:t xml:space="preserve"> </w:t>
      </w:r>
      <w:r w:rsidRPr="00443A12">
        <w:rPr>
          <w:color w:val="FF0000"/>
          <w:sz w:val="20"/>
        </w:rPr>
        <w:t xml:space="preserve">Red taxa are vouchers isolated in this study and include isolation source </w:t>
      </w:r>
      <w:r>
        <w:rPr>
          <w:color w:val="FF0000"/>
          <w:sz w:val="20"/>
        </w:rPr>
        <w:t>(Roots, Cankers, or Soil)</w:t>
      </w:r>
      <w:r w:rsidR="00051984">
        <w:rPr>
          <w:color w:val="FF0000"/>
          <w:sz w:val="20"/>
        </w:rPr>
        <w:t xml:space="preserve">, </w:t>
      </w:r>
      <w:r w:rsidRPr="00443A12">
        <w:rPr>
          <w:color w:val="FF0000"/>
          <w:sz w:val="20"/>
        </w:rPr>
        <w:t xml:space="preserve">treatment code </w:t>
      </w:r>
      <w:r>
        <w:rPr>
          <w:color w:val="FF0000"/>
          <w:sz w:val="20"/>
        </w:rPr>
        <w:t xml:space="preserve">(Non-sterile, Control, </w:t>
      </w:r>
      <w:proofErr w:type="spellStart"/>
      <w:r>
        <w:rPr>
          <w:color w:val="FF0000"/>
          <w:sz w:val="20"/>
        </w:rPr>
        <w:t>Trich</w:t>
      </w:r>
      <w:proofErr w:type="spellEnd"/>
      <w:r>
        <w:rPr>
          <w:color w:val="FF0000"/>
          <w:sz w:val="20"/>
        </w:rPr>
        <w:t xml:space="preserve">, FSSC, and FSSC + </w:t>
      </w:r>
      <w:proofErr w:type="spellStart"/>
      <w:r>
        <w:rPr>
          <w:color w:val="FF0000"/>
          <w:sz w:val="20"/>
        </w:rPr>
        <w:t>Trich</w:t>
      </w:r>
      <w:proofErr w:type="spellEnd"/>
      <w:r>
        <w:rPr>
          <w:color w:val="FF0000"/>
          <w:sz w:val="20"/>
        </w:rPr>
        <w:t>)</w:t>
      </w:r>
      <w:r w:rsidR="00051984">
        <w:rPr>
          <w:color w:val="FF0000"/>
          <w:sz w:val="20"/>
        </w:rPr>
        <w:t xml:space="preserve">, and </w:t>
      </w:r>
      <w:r w:rsidR="00051984">
        <w:rPr>
          <w:color w:val="000000" w:themeColor="text1"/>
          <w:sz w:val="20"/>
        </w:rPr>
        <w:t>GenBank accession number</w:t>
      </w:r>
      <w:r>
        <w:rPr>
          <w:color w:val="FF0000"/>
          <w:sz w:val="20"/>
        </w:rPr>
        <w:t xml:space="preserve"> </w:t>
      </w:r>
      <w:r w:rsidRPr="00443A12">
        <w:rPr>
          <w:color w:val="FF0000"/>
          <w:sz w:val="20"/>
        </w:rPr>
        <w:t xml:space="preserve">in parentheses. </w:t>
      </w:r>
      <w:r w:rsidRPr="00FB4CF9">
        <w:rPr>
          <w:color w:val="000000" w:themeColor="text1"/>
          <w:sz w:val="20"/>
        </w:rPr>
        <w:t>*</w:t>
      </w:r>
      <w:r w:rsidRPr="00443A12">
        <w:rPr>
          <w:color w:val="FF0000"/>
          <w:sz w:val="20"/>
        </w:rPr>
        <w:t>I</w:t>
      </w:r>
      <w:bookmarkStart w:id="0" w:name="_GoBack"/>
      <w:bookmarkEnd w:id="0"/>
      <w:r w:rsidRPr="00443A12">
        <w:rPr>
          <w:color w:val="FF0000"/>
          <w:sz w:val="20"/>
        </w:rPr>
        <w:t>solates with identical ITS+ TEF-1a sequences.</w:t>
      </w:r>
      <w:r>
        <w:rPr>
          <w:sz w:val="20"/>
        </w:rPr>
        <w:t xml:space="preserve"> </w:t>
      </w:r>
    </w:p>
    <w:p w14:paraId="73B72C97" w14:textId="77777777" w:rsidR="001D27DC" w:rsidRPr="00FE2233" w:rsidRDefault="001D27DC" w:rsidP="001D27DC">
      <w:pPr>
        <w:pStyle w:val="CaptionTableFig"/>
        <w:rPr>
          <w:sz w:val="20"/>
        </w:rPr>
      </w:pPr>
    </w:p>
    <w:p w14:paraId="553684B5" w14:textId="77777777" w:rsidR="001D27DC" w:rsidRPr="0053430B" w:rsidRDefault="001D27DC" w:rsidP="001D27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C1E96C" wp14:editId="1517F651">
            <wp:extent cx="5864087" cy="691473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NEX.DATA.TEF1.ITS.xtratax.concatonly.scratch.4.9.20.paup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6"/>
                    <a:stretch/>
                  </pic:blipFill>
                  <pic:spPr bwMode="auto">
                    <a:xfrm>
                      <a:off x="0" y="0"/>
                      <a:ext cx="5868474" cy="691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DE44E" w14:textId="6DC31E2D" w:rsidR="001D27DC" w:rsidRDefault="001D27DC" w:rsidP="001D27DC">
      <w:pPr>
        <w:pStyle w:val="CaptionTableFig"/>
        <w:ind w:right="1440"/>
        <w:rPr>
          <w:sz w:val="20"/>
          <w:szCs w:val="20"/>
        </w:rPr>
      </w:pPr>
      <w:r w:rsidRPr="0015678B">
        <w:rPr>
          <w:sz w:val="20"/>
          <w:szCs w:val="20"/>
        </w:rPr>
        <w:lastRenderedPageBreak/>
        <w:t xml:space="preserve">Figure </w:t>
      </w:r>
      <w:r>
        <w:rPr>
          <w:sz w:val="20"/>
          <w:szCs w:val="20"/>
        </w:rPr>
        <w:t>S3</w:t>
      </w:r>
      <w:r w:rsidRPr="0015678B">
        <w:rPr>
          <w:sz w:val="20"/>
          <w:szCs w:val="20"/>
        </w:rPr>
        <w:t xml:space="preserve">. </w:t>
      </w:r>
      <w:r>
        <w:rPr>
          <w:sz w:val="20"/>
          <w:szCs w:val="20"/>
        </w:rPr>
        <w:t>Isolation rates (Mean</w:t>
      </w:r>
      <w:r w:rsidR="001D48C3">
        <w:rPr>
          <w:sz w:val="20"/>
          <w:szCs w:val="20"/>
        </w:rPr>
        <w:t xml:space="preserve"> + </w:t>
      </w:r>
      <w:r>
        <w:rPr>
          <w:sz w:val="20"/>
          <w:szCs w:val="20"/>
        </w:rPr>
        <w:t>adjusted SE number of colonies per plant)</w:t>
      </w:r>
      <w:r w:rsidRPr="0015678B">
        <w:rPr>
          <w:sz w:val="20"/>
          <w:szCs w:val="20"/>
        </w:rPr>
        <w:t xml:space="preserve"> </w:t>
      </w:r>
      <w:r>
        <w:rPr>
          <w:sz w:val="20"/>
          <w:szCs w:val="20"/>
        </w:rPr>
        <w:t>of fungi from cankers, roots</w:t>
      </w:r>
      <w:r w:rsidR="00301148">
        <w:rPr>
          <w:sz w:val="20"/>
          <w:szCs w:val="20"/>
        </w:rPr>
        <w:t xml:space="preserve"> (left axis)</w:t>
      </w:r>
      <w:r>
        <w:rPr>
          <w:sz w:val="20"/>
          <w:szCs w:val="20"/>
        </w:rPr>
        <w:t xml:space="preserve">, and soil </w:t>
      </w:r>
      <w:r w:rsidR="00301148">
        <w:rPr>
          <w:sz w:val="20"/>
          <w:szCs w:val="20"/>
        </w:rPr>
        <w:t xml:space="preserve">(right axis) </w:t>
      </w:r>
      <w:r>
        <w:rPr>
          <w:sz w:val="20"/>
          <w:szCs w:val="20"/>
        </w:rPr>
        <w:t xml:space="preserve">of walnut seedlings </w:t>
      </w:r>
      <w:r>
        <w:rPr>
          <w:sz w:val="20"/>
        </w:rPr>
        <w:t xml:space="preserve">grown in untreated potting mix (NS) or in sterilized potting mix inoculated with filtrate only (C), </w:t>
      </w:r>
      <w:r w:rsidRPr="006E2A3D">
        <w:rPr>
          <w:i w:val="0"/>
          <w:sz w:val="20"/>
        </w:rPr>
        <w:t xml:space="preserve">Trichoderma </w:t>
      </w:r>
      <w:proofErr w:type="spellStart"/>
      <w:r w:rsidRPr="006E2A3D">
        <w:rPr>
          <w:i w:val="0"/>
          <w:sz w:val="20"/>
        </w:rPr>
        <w:t>asperellum</w:t>
      </w:r>
      <w:proofErr w:type="spellEnd"/>
      <w:r>
        <w:rPr>
          <w:sz w:val="20"/>
        </w:rPr>
        <w:t xml:space="preserve"> Rh-366 (T), FSSC Rh-217 (F), or both Rh-217 and Rh-366 together (FT)</w:t>
      </w:r>
      <w:r>
        <w:rPr>
          <w:sz w:val="20"/>
          <w:szCs w:val="20"/>
        </w:rPr>
        <w:t xml:space="preserve">. </w:t>
      </w:r>
      <w:r w:rsidRPr="006E2A3D">
        <w:rPr>
          <w:sz w:val="20"/>
        </w:rPr>
        <w:t>Groups with different letters had significantly</w:t>
      </w:r>
      <w:r>
        <w:rPr>
          <w:sz w:val="20"/>
        </w:rPr>
        <w:t xml:space="preserve"> different </w:t>
      </w:r>
      <w:proofErr w:type="spellStart"/>
      <w:r>
        <w:rPr>
          <w:sz w:val="20"/>
        </w:rPr>
        <w:t>reisolation</w:t>
      </w:r>
      <w:proofErr w:type="spellEnd"/>
      <w:r>
        <w:rPr>
          <w:sz w:val="20"/>
        </w:rPr>
        <w:t xml:space="preserve"> rates within cankers, roots, and soil.</w:t>
      </w:r>
    </w:p>
    <w:p w14:paraId="097C41EE" w14:textId="77777777" w:rsidR="001D27DC" w:rsidRDefault="001D27DC" w:rsidP="001D27DC">
      <w:pPr>
        <w:pStyle w:val="CaptionTableFig"/>
        <w:ind w:right="2340"/>
        <w:rPr>
          <w:sz w:val="20"/>
          <w:szCs w:val="20"/>
        </w:rPr>
      </w:pPr>
    </w:p>
    <w:p w14:paraId="7EFA06C6" w14:textId="77777777" w:rsidR="001D27DC" w:rsidRDefault="001D27DC" w:rsidP="001D27DC">
      <w:pPr>
        <w:pStyle w:val="CaptionTableFig"/>
        <w:ind w:right="2340"/>
        <w:rPr>
          <w:sz w:val="20"/>
          <w:szCs w:val="20"/>
        </w:rPr>
      </w:pPr>
    </w:p>
    <w:p w14:paraId="58E2C66D" w14:textId="77777777" w:rsidR="001D27DC" w:rsidRDefault="001D27DC" w:rsidP="001D27DC">
      <w:pPr>
        <w:pStyle w:val="CaptionTableFig"/>
        <w:rPr>
          <w:sz w:val="20"/>
        </w:rPr>
      </w:pPr>
      <w:r>
        <w:rPr>
          <w:noProof/>
        </w:rPr>
        <w:drawing>
          <wp:inline distT="0" distB="0" distL="0" distR="0" wp14:anchorId="7A8DF63E" wp14:editId="332C982B">
            <wp:extent cx="5394960" cy="29972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TG.reiso.Final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408" cy="30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1E0A" w14:textId="77777777" w:rsidR="001D27DC" w:rsidRDefault="001D27DC" w:rsidP="001D27DC">
      <w:pPr>
        <w:pStyle w:val="Heading1"/>
      </w:pPr>
    </w:p>
    <w:p w14:paraId="3A042253" w14:textId="77777777" w:rsidR="001D27DC" w:rsidRDefault="001D27DC" w:rsidP="001D27DC">
      <w:pPr>
        <w:pStyle w:val="Heading1"/>
      </w:pPr>
    </w:p>
    <w:p w14:paraId="4BA5A8F0" w14:textId="77777777" w:rsidR="001D27DC" w:rsidRPr="0018363D" w:rsidRDefault="001D27DC" w:rsidP="001D27DC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</w:rPr>
      </w:pPr>
    </w:p>
    <w:p w14:paraId="355B9CB9" w14:textId="24CB4617" w:rsidR="001D27DC" w:rsidRPr="00E67C18" w:rsidRDefault="001D27DC" w:rsidP="001D27DC">
      <w:pPr>
        <w:rPr>
          <w:rFonts w:ascii="Times New Roman" w:hAnsi="Times New Roman" w:cs="Times New Roman"/>
        </w:rPr>
      </w:pPr>
    </w:p>
    <w:sectPr w:rsidR="001D27DC" w:rsidRPr="00E67C18" w:rsidSect="001D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F2"/>
    <w:rsid w:val="00051984"/>
    <w:rsid w:val="0013269C"/>
    <w:rsid w:val="001D27DC"/>
    <w:rsid w:val="001D3581"/>
    <w:rsid w:val="001D48C3"/>
    <w:rsid w:val="00267281"/>
    <w:rsid w:val="00301148"/>
    <w:rsid w:val="0046252C"/>
    <w:rsid w:val="00515A14"/>
    <w:rsid w:val="00572B0E"/>
    <w:rsid w:val="00761249"/>
    <w:rsid w:val="00764867"/>
    <w:rsid w:val="00841844"/>
    <w:rsid w:val="00852363"/>
    <w:rsid w:val="00926AA6"/>
    <w:rsid w:val="00A00AEB"/>
    <w:rsid w:val="00A54196"/>
    <w:rsid w:val="00B212CD"/>
    <w:rsid w:val="00B24EB4"/>
    <w:rsid w:val="00BA2B5A"/>
    <w:rsid w:val="00D70A2B"/>
    <w:rsid w:val="00E67C18"/>
    <w:rsid w:val="00ED13F2"/>
    <w:rsid w:val="00F24A19"/>
    <w:rsid w:val="00FB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37AD"/>
  <w14:defaultImageDpi w14:val="32767"/>
  <w15:chartTrackingRefBased/>
  <w15:docId w15:val="{5AA1DB3B-45DD-EE44-800C-DB5C955D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3F2"/>
  </w:style>
  <w:style w:type="paragraph" w:styleId="Heading1">
    <w:name w:val="heading 1"/>
    <w:basedOn w:val="Normal"/>
    <w:next w:val="Normal"/>
    <w:link w:val="Heading1Char"/>
    <w:uiPriority w:val="9"/>
    <w:qFormat/>
    <w:rsid w:val="001D27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3F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3F2"/>
    <w:rPr>
      <w:rFonts w:ascii="Times New Roman" w:eastAsiaTheme="majorEastAsia" w:hAnsi="Times New Roman" w:cstheme="majorBidi"/>
      <w:i/>
      <w:color w:val="000000" w:themeColor="text1"/>
      <w:szCs w:val="26"/>
    </w:rPr>
  </w:style>
  <w:style w:type="character" w:styleId="Hyperlink">
    <w:name w:val="Hyperlink"/>
    <w:basedOn w:val="DefaultParagraphFont"/>
    <w:uiPriority w:val="99"/>
    <w:unhideWhenUsed/>
    <w:rsid w:val="00ED13F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2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ptionTableFig">
    <w:name w:val="CaptionTableFig"/>
    <w:basedOn w:val="Normal"/>
    <w:qFormat/>
    <w:rsid w:val="001D27DC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267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2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2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2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2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2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9A15CD-66B6-5D41-AA19-E582A41B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M Williams</dc:creator>
  <cp:keywords/>
  <dc:description/>
  <cp:lastModifiedBy>Geoffrey M Williams</cp:lastModifiedBy>
  <cp:revision>6</cp:revision>
  <dcterms:created xsi:type="dcterms:W3CDTF">2020-11-28T16:44:00Z</dcterms:created>
  <dcterms:modified xsi:type="dcterms:W3CDTF">2020-11-29T16:55:00Z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Unique User Id_1">
    <vt:lpwstr>58c86340-ab55-325c-8dcc-72bb24991e03</vt:lpwstr>
  </property>
  <property fmtid="{D5CDD505-2E9C-101B-9397-08002B2CF9AE}" pid="3" name="Mendeley Citation Style_1">
    <vt:lpwstr>http://www.zotero.org/styles/environmental-entomology</vt:lpwstr>
  </property>
</Properties>
</file>