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天邮系统的规则构思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以腾讯im为基础设施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原生android为用户端外壳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腾讯用户体系，登录，授权头像和手机等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后台语言springboot  jpa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主控界面vue 模板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Uni-app作为小程序和功能页面的ui框架</w:t>
      </w:r>
    </w:p>
    <w:p>
      <w:pPr>
        <w:pStyle w:val="12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ndroid主框架为腾讯im的框架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框架所有的通知机制，使用im的通知，例如置顶的系统通知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事务，设备和人都是一等公民，可以传递的，有idcard的，可以引用的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事务包括（群聊，订单，工单，保修单等）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设备包括（设施，物品，卡，证等）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人（开发，平台，合作者，用户）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设备（事务）的一体化思考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设备（事务）和人通过im的方式交互，可交互的动作放到微信右下角的加号里（状态机模式），设备（事务）的通知为im的card模式，人的操作为右侧的绿底字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设备事件（事务事件）通知仿照im的card模式，参考微信支付通知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设备状态通知，采用im的自定义模式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小程序和内部h5页面打包上传到服务器上，第一次访问或者有更新应该主动更新后再访问，参考小程序的热更新机制，实现80%功能热更新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小程序后台和平台的交互SDK，协议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小程序的vscode的插件，参考Touch-ui的改造，编译效果浏览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小程序调用App和手机功能机制开发，全局功能（例如支付）封装成button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设备（事务）的行为权限（即有限状态机）的可视化，被通知人的可视化的界面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设备（事务）已经发生的事件流的可视化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全局大数据可视化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审计和事件记录系统，log系统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设备，人，事件的card，全文索引es，@机制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设备的所有权，使用权，检察权的机制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</w:rPr>
      </w:pP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</w:rPr>
      </w:pP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</w:rPr>
      </w:pP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组织树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组织树节点类型（含根和多组）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角色是挂在组织类型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权利：</w:t>
      </w:r>
    </w:p>
    <w:p>
      <w:pPr>
        <w:pStyle w:val="12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监查权：部门  角色  具体人？</w:t>
      </w:r>
    </w:p>
    <w:p>
      <w:pPr>
        <w:pStyle w:val="12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所有权</w:t>
      </w:r>
    </w:p>
    <w:p>
      <w:pPr>
        <w:pStyle w:val="12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使用权（可转移）</w:t>
      </w:r>
    </w:p>
    <w:p>
      <w:pPr>
        <w:pStyle w:val="12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……</w:t>
      </w: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订阅</w:t>
      </w:r>
    </w:p>
    <w:p>
      <w:pPr>
        <w:pStyle w:val="12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消息模板：消息通道</w:t>
      </w:r>
    </w:p>
    <w:p>
      <w:pPr>
        <w:pStyle w:val="12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订阅人来源：被动 和 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视图</w:t>
      </w:r>
    </w:p>
    <w:p>
      <w:pPr>
        <w:pStyle w:val="12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通用列表页</w:t>
      </w:r>
    </w:p>
    <w:p>
      <w:pPr>
        <w:pStyle w:val="12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通用详细页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事件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订阅策略（把什么东东加到订阅者列表，以及是否静默）：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具体人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关联组织类型的角色：产权企业  使用企业  供应商  销售商 天邮网点 生产商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实体关联人：产权自然人  使用自然人（关联类型） 天邮客服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实体关联人的组织的角色：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 w:firstLine="720" w:firstLineChars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 w:firstLine="720" w:firstLineChars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</w:t>
      </w:r>
    </w:p>
    <w:p>
      <w:pPr>
        <w:pStyle w:val="12"/>
        <w:numPr>
          <w:ilvl w:val="0"/>
          <w:numId w:val="2"/>
        </w:numPr>
        <w:adjustRightInd w:val="0"/>
        <w:snapToGrid w:val="0"/>
        <w:spacing w:after="200" w:line="24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通知机制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98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4180" w:type="dxa"/>
            <w:gridSpan w:val="4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内部</w:t>
            </w:r>
          </w:p>
        </w:tc>
        <w:tc>
          <w:tcPr>
            <w:tcW w:w="3197" w:type="dxa"/>
            <w:gridSpan w:val="3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通道</w:t>
            </w:r>
          </w:p>
        </w:tc>
        <w:tc>
          <w:tcPr>
            <w:tcW w:w="98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IM</w:t>
            </w: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手机推送</w:t>
            </w: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PC右下角</w:t>
            </w: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列表页</w:t>
            </w: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短信</w:t>
            </w: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自动电话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通知策略1</w:t>
            </w:r>
          </w:p>
        </w:tc>
        <w:tc>
          <w:tcPr>
            <w:tcW w:w="98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通知策略2</w:t>
            </w:r>
          </w:p>
        </w:tc>
        <w:tc>
          <w:tcPr>
            <w:tcW w:w="98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通知策略3</w:t>
            </w:r>
          </w:p>
        </w:tc>
        <w:tc>
          <w:tcPr>
            <w:tcW w:w="98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通知策略4</w:t>
            </w:r>
          </w:p>
        </w:tc>
        <w:tc>
          <w:tcPr>
            <w:tcW w:w="98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……</w:t>
            </w:r>
          </w:p>
        </w:tc>
        <w:tc>
          <w:tcPr>
            <w:tcW w:w="98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jc w:val="both"/>
              <w:textAlignment w:val="auto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对象：订阅者（采用注册制，需要更新，加入订阅时效）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default"/>
          <w:lang w:val="en-US" w:eastAsia="zh-CN"/>
        </w:rPr>
      </w:pPr>
    </w:p>
    <w:p>
      <w:pPr>
        <w:pStyle w:val="12"/>
        <w:numPr>
          <w:ilvl w:val="0"/>
          <w:numId w:val="2"/>
        </w:numPr>
        <w:adjustRightInd w:val="0"/>
        <w:snapToGrid w:val="0"/>
        <w:spacing w:after="200" w:line="24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通知模板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比如：短信，有对应的文本模板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通知时间延时：0 ~  多少秒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状态下的周期通知：周期秒 和 多少次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default"/>
          <w:lang w:val="en-US" w:eastAsia="zh-CN"/>
        </w:rPr>
      </w:pP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default"/>
          <w:lang w:val="en-US" w:eastAsia="zh-CN"/>
        </w:rPr>
      </w:pP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二维码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"http://qr.tianyou.com/?code=kjhsldkkjlwhrwr"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http://qr.tianyou.com/?code=kjhsldkkjlwhrwr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实际去取json参数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要有有效时间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default"/>
          <w:lang w:val="en-US" w:eastAsia="zh-CN"/>
        </w:rPr>
      </w:pP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财务中心化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网点和公司都有账户</w:t>
      </w: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任务系统</w:t>
      </w: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时效设计（能不能做成任意实体都有这个？）</w:t>
      </w:r>
    </w:p>
    <w:p>
      <w:pPr>
        <w:pStyle w:val="12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WarningAt</w:t>
      </w:r>
    </w:p>
    <w:p>
      <w:pPr>
        <w:pStyle w:val="12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ErrorAt</w:t>
      </w:r>
    </w:p>
    <w:p>
      <w:pPr>
        <w:pStyle w:val="12"/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FatalAt</w:t>
      </w:r>
    </w:p>
    <w:p>
      <w:pPr>
        <w:pStyle w:val="12"/>
        <w:numPr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搜索接口</w:t>
      </w:r>
      <w:bookmarkStart w:id="0" w:name="_GoBack"/>
      <w:bookmarkEnd w:id="0"/>
    </w:p>
    <w:p>
      <w:pPr>
        <w:pStyle w:val="12"/>
        <w:numPr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502A5C"/>
    <w:multiLevelType w:val="singleLevel"/>
    <w:tmpl w:val="EE502A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EEA3A21"/>
    <w:multiLevelType w:val="multilevel"/>
    <w:tmpl w:val="1EEA3A2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14E9"/>
    <w:rsid w:val="0008526B"/>
    <w:rsid w:val="00094A73"/>
    <w:rsid w:val="00095F5B"/>
    <w:rsid w:val="000A0167"/>
    <w:rsid w:val="000B1EC6"/>
    <w:rsid w:val="000F1009"/>
    <w:rsid w:val="000F4A48"/>
    <w:rsid w:val="00124434"/>
    <w:rsid w:val="00140380"/>
    <w:rsid w:val="001D7900"/>
    <w:rsid w:val="001F326D"/>
    <w:rsid w:val="00231204"/>
    <w:rsid w:val="0024717D"/>
    <w:rsid w:val="002C37C5"/>
    <w:rsid w:val="002C7CE2"/>
    <w:rsid w:val="002F1D8F"/>
    <w:rsid w:val="00317A2F"/>
    <w:rsid w:val="00323B43"/>
    <w:rsid w:val="00327C92"/>
    <w:rsid w:val="003C5526"/>
    <w:rsid w:val="003D37D8"/>
    <w:rsid w:val="0040169A"/>
    <w:rsid w:val="00425C59"/>
    <w:rsid w:val="00426133"/>
    <w:rsid w:val="004358AB"/>
    <w:rsid w:val="004716F4"/>
    <w:rsid w:val="004B1322"/>
    <w:rsid w:val="00521BDD"/>
    <w:rsid w:val="00537C8D"/>
    <w:rsid w:val="00556903"/>
    <w:rsid w:val="005A03D7"/>
    <w:rsid w:val="005B16E2"/>
    <w:rsid w:val="00610D6E"/>
    <w:rsid w:val="00650A0F"/>
    <w:rsid w:val="006774AF"/>
    <w:rsid w:val="006833DA"/>
    <w:rsid w:val="006900C8"/>
    <w:rsid w:val="00690F45"/>
    <w:rsid w:val="00697682"/>
    <w:rsid w:val="006A7EF0"/>
    <w:rsid w:val="00712626"/>
    <w:rsid w:val="00716463"/>
    <w:rsid w:val="007214AD"/>
    <w:rsid w:val="00724356"/>
    <w:rsid w:val="00734258"/>
    <w:rsid w:val="007636A3"/>
    <w:rsid w:val="007B6949"/>
    <w:rsid w:val="007F3D37"/>
    <w:rsid w:val="008B7726"/>
    <w:rsid w:val="0098344D"/>
    <w:rsid w:val="009C6E3B"/>
    <w:rsid w:val="009E17BD"/>
    <w:rsid w:val="00A07242"/>
    <w:rsid w:val="00A13087"/>
    <w:rsid w:val="00A47595"/>
    <w:rsid w:val="00A662BA"/>
    <w:rsid w:val="00AB5FC3"/>
    <w:rsid w:val="00AC04DB"/>
    <w:rsid w:val="00AC13D2"/>
    <w:rsid w:val="00AC324E"/>
    <w:rsid w:val="00B04F7F"/>
    <w:rsid w:val="00B27BB7"/>
    <w:rsid w:val="00B437EF"/>
    <w:rsid w:val="00BB43BC"/>
    <w:rsid w:val="00BE0990"/>
    <w:rsid w:val="00CD0B6C"/>
    <w:rsid w:val="00D156AF"/>
    <w:rsid w:val="00D31D50"/>
    <w:rsid w:val="00D44FBC"/>
    <w:rsid w:val="00D54EB6"/>
    <w:rsid w:val="00D74C98"/>
    <w:rsid w:val="00DC4D9E"/>
    <w:rsid w:val="00DC5AA1"/>
    <w:rsid w:val="00DE555C"/>
    <w:rsid w:val="00DF38C4"/>
    <w:rsid w:val="00E00781"/>
    <w:rsid w:val="00E24B53"/>
    <w:rsid w:val="00E85CB1"/>
    <w:rsid w:val="00EE3FD8"/>
    <w:rsid w:val="00F056E9"/>
    <w:rsid w:val="00F27C14"/>
    <w:rsid w:val="00FD284A"/>
    <w:rsid w:val="00FE4A2F"/>
    <w:rsid w:val="031B1D16"/>
    <w:rsid w:val="047431DC"/>
    <w:rsid w:val="04D05176"/>
    <w:rsid w:val="05C96597"/>
    <w:rsid w:val="075B3397"/>
    <w:rsid w:val="079150DA"/>
    <w:rsid w:val="09DD5BB3"/>
    <w:rsid w:val="0B927365"/>
    <w:rsid w:val="0BE61D74"/>
    <w:rsid w:val="0DCC4643"/>
    <w:rsid w:val="0FB9048F"/>
    <w:rsid w:val="120F7DBC"/>
    <w:rsid w:val="12A03E3A"/>
    <w:rsid w:val="12AE5708"/>
    <w:rsid w:val="12D91694"/>
    <w:rsid w:val="12F47C08"/>
    <w:rsid w:val="19A5409B"/>
    <w:rsid w:val="1DE16BD8"/>
    <w:rsid w:val="1E52692A"/>
    <w:rsid w:val="1EE6151E"/>
    <w:rsid w:val="1FD40EEC"/>
    <w:rsid w:val="21FC3BAC"/>
    <w:rsid w:val="27047EDC"/>
    <w:rsid w:val="27B61D82"/>
    <w:rsid w:val="2F2B1D1C"/>
    <w:rsid w:val="2FF27CAA"/>
    <w:rsid w:val="35B14C6C"/>
    <w:rsid w:val="378F5F7D"/>
    <w:rsid w:val="3877396C"/>
    <w:rsid w:val="388D2690"/>
    <w:rsid w:val="39A17CED"/>
    <w:rsid w:val="3C22028B"/>
    <w:rsid w:val="43AE538B"/>
    <w:rsid w:val="449E6CC4"/>
    <w:rsid w:val="455C7078"/>
    <w:rsid w:val="45EB6372"/>
    <w:rsid w:val="4A1A0321"/>
    <w:rsid w:val="4A204C28"/>
    <w:rsid w:val="4A422831"/>
    <w:rsid w:val="4AF2524D"/>
    <w:rsid w:val="4B376B0A"/>
    <w:rsid w:val="4B461FE9"/>
    <w:rsid w:val="4C1E19FB"/>
    <w:rsid w:val="4DB2762F"/>
    <w:rsid w:val="4FDD2020"/>
    <w:rsid w:val="50315F6F"/>
    <w:rsid w:val="543A7C8B"/>
    <w:rsid w:val="544D481D"/>
    <w:rsid w:val="566C327F"/>
    <w:rsid w:val="57D1331C"/>
    <w:rsid w:val="57FE4683"/>
    <w:rsid w:val="58802C2E"/>
    <w:rsid w:val="592A1229"/>
    <w:rsid w:val="5CA22C54"/>
    <w:rsid w:val="5E2A672C"/>
    <w:rsid w:val="5F007532"/>
    <w:rsid w:val="5FB3464D"/>
    <w:rsid w:val="5FBC3D9C"/>
    <w:rsid w:val="60B303C2"/>
    <w:rsid w:val="63763939"/>
    <w:rsid w:val="66EA7CD3"/>
    <w:rsid w:val="6770587F"/>
    <w:rsid w:val="6A382728"/>
    <w:rsid w:val="6C48645C"/>
    <w:rsid w:val="6E84190D"/>
    <w:rsid w:val="6F157A68"/>
    <w:rsid w:val="6FAF76BF"/>
    <w:rsid w:val="71574590"/>
    <w:rsid w:val="71587F85"/>
    <w:rsid w:val="72291B2B"/>
    <w:rsid w:val="72FB30A4"/>
    <w:rsid w:val="7320007A"/>
    <w:rsid w:val="733425F2"/>
    <w:rsid w:val="746A04CD"/>
    <w:rsid w:val="7556162C"/>
    <w:rsid w:val="77F4283A"/>
    <w:rsid w:val="787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semiHidden/>
    <w:unhideWhenUsed/>
    <w:uiPriority w:val="99"/>
    <w:rPr>
      <w:rFonts w:ascii="宋体" w:eastAsia="宋体"/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0">
    <w:name w:val="文档结构图 Char"/>
    <w:basedOn w:val="7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1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563</Characters>
  <Lines>4</Lines>
  <Paragraphs>1</Paragraphs>
  <TotalTime>0</TotalTime>
  <ScaleCrop>false</ScaleCrop>
  <LinksUpToDate>false</LinksUpToDate>
  <CharactersWithSpaces>660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杨为乾</cp:lastModifiedBy>
  <dcterms:modified xsi:type="dcterms:W3CDTF">2020-01-15T13:12:23Z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