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Model</w:t>
      </w:r>
      <w:r>
        <w:t xml:space="preserve"> </w:t>
      </w:r>
      <w:r>
        <w:t xml:space="preserve">reporting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Hamilton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Gao</w:t>
      </w:r>
    </w:p>
    <w:p>
      <w:pPr>
        <w:pStyle w:val="Date"/>
      </w:pPr>
      <w:r>
        <w:t xml:space="preserve">02/11/2020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CAPTION 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2 564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4 477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4 098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5 188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4 790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5 491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1 317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3 036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aqol6d_total_w_cloglog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identity;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sampling(NUTS).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da2eb72-f13e-4de8-a13c-2024004c0322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da2eb72-f13e-4de8-a13c-2024004c0322"/>
      <w:r>
        <w:rPr/>
        <w:t xml:space="preserve">: </w:t>
      </w:r>
      <w:r>
        <w:t xml:space="preserve">Caption A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e9e0420-44d9-4525-beb9-d39ebbc29539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e9e0420-44d9-4525-beb9-d39ebbc29539"/>
      <w:r>
        <w:rPr/>
        <w:t xml:space="preserve">: </w:t>
      </w:r>
      <w:r>
        <w:t xml:space="preserve">Caption B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7628ca5-7b8b-4e81-b0da-72ff6ad3ee83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7628ca5-7b8b-4e81-b0da-72ff6ad3ee83"/>
      <w:r>
        <w:rPr/>
        <w:t xml:space="preserve">: </w:t>
      </w:r>
      <w:r>
        <w:t xml:space="preserve">Caption C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f866015-faa2-4ea4-a595-15aa3012d804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f866015-faa2-4ea4-a595-15aa3012d804"/>
      <w:r>
        <w:rPr/>
        <w:t xml:space="preserve">: </w:t>
      </w:r>
      <w:r>
        <w:t xml:space="preserve">Caption D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CAPTION B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1 106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5 335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4 904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3 300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5 393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6 049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1 473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log;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sampling(NUTS).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5e164a7-00af-48bb-973a-cf8d7847ab84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5e164a7-00af-48bb-973a-cf8d7847ab84"/>
      <w:r>
        <w:rPr/>
        <w:t xml:space="preserve">: </w:t>
      </w:r>
      <w:r>
        <w:t xml:space="preserve">Caption 1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77977f50-1c11-459a-8ee6-761af318149a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7977f50-1c11-459a-8ee6-761af318149a"/>
      <w:r>
        <w:rPr/>
        <w:t xml:space="preserve">: </w:t>
      </w:r>
      <w:r>
        <w:t xml:space="preserve">Caption 2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ecbaf4e8-b368-42d4-ac96-64d0c77aafb1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cbaf4e8-b368-42d4-ac96-64d0c77aafb1"/>
      <w:r>
        <w:rPr/>
        <w:t xml:space="preserve">: </w:t>
      </w:r>
      <w:r>
        <w:t xml:space="preserve">Caption 3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c56de94-9d75-444a-85c6-e5f6f5f04537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c56de94-9d75-444a-85c6-e5f6f5f04537"/>
      <w:r>
        <w:rPr/>
        <w:t xml:space="preserve">: </w:t>
      </w:r>
      <w:r>
        <w:t xml:space="preserve">Caption 4</w:t>
      </w: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38c305678aa.png"/>
<Relationship Id="rId12" Type="http://schemas.openxmlformats.org/officeDocument/2006/relationships/image" Target="media/file238c3aff747b.png"/>
<Relationship Id="rId13" Type="http://schemas.openxmlformats.org/officeDocument/2006/relationships/image" Target="media/file238c28b47150.png"/>
<Relationship Id="rId14" Type="http://schemas.openxmlformats.org/officeDocument/2006/relationships/image" Target="media/file238c3ebc4bae.png"/>
<Relationship Id="rId15" Type="http://schemas.openxmlformats.org/officeDocument/2006/relationships/image" Target="media/file238c47416b52.png"/>
<Relationship Id="rId16" Type="http://schemas.openxmlformats.org/officeDocument/2006/relationships/image" Target="media/file238c2eab7594.png"/>
<Relationship Id="rId17" Type="http://schemas.openxmlformats.org/officeDocument/2006/relationships/image" Target="media/file238c3cad57e4.png"/>
<Relationship Id="rId18" Type="http://schemas.openxmlformats.org/officeDocument/2006/relationships/image" Target="media/file238c4ea91327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 standalone="yes"?>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<dc:title>Model reporting template</dc:title><dc:creator>Matthew Hamilton & Caroline Gao</dc:creator><cp:keywords></cp:keywords><dcterms:created xsi:type="dcterms:W3CDTF">2020-11-04T10:43:47Z</dcterms:created><dcterms:modified xsi:type="dcterms:W3CDTF">2020-11-04T21:43:47Z</dcterms:modified><cp:lastModifiedBy></cp:lastModifiedBy></cp:coreProperties>
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02/11/2020</vt:lpwstr>
  </property>
  <property fmtid="{D5CDD505-2E9C-101B-9397-08002B2CF9AE}" pid="3" name="graphics">
    <vt:lpwstr>yes</vt:lpwstr>
  </property>
  <property fmtid="{D5CDD505-2E9C-101B-9397-08002B2CF9AE}" pid="4" name="output">
    <vt:lpwstr>html_document</vt:lpwstr>
  </property>
  <property fmtid="{D5CDD505-2E9C-101B-9397-08002B2CF9AE}" pid="5" name="params">
    <vt:lpwstr/>
  </property>
</Properties>
</file>