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executive leader with 21+ years of global experience in IT leadership, service transition, and managed services. Demonstrated expertise in driving complex BPO/KPO and technology platform transitions, prioritizing operational excellence and lean/AI transformation across global delivery models. Possesses a robust background in financial services and regulated environments, ensuring SOX and cyber compliance at enterprise scale. Adept at leading and mentoring large, cross-functional teams while engaging global stakeholders to achieve strategic business objectives and enhance enterprise scalability. Poised to drive critical transition initiatives at KPMG as Director - Transition, Managed Services.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Transition &amp; Managed Services Leadership | Global Operations &amp; Service Delivery | AI &amp; Lean Transformation Strategy | Executive Stakeholder Engagement | High-Performance Team Leadership | Financial &amp; Regulatory Compliance | Operational Excellence &amp; Quality Assurance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ITSM assessments and strategic advisory engagements for enterprise healthcare and BFSI clients, ensuring NIST/ITIL compliance and readiness for complex managed service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Pioneered an AI-driven automation framework, reducing repeat failures by 60% and enhancing service reliability across managed services engagements.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teams in developing hybrid-cloud cost dashboards and accelerators, driving proactive budget optimization for large-scale platform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global leadership relationships across US, LatAm, Europe, and APAC to deliver platform modernization roadmaps and significantly increase AI adoption across service delivery engagements.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large-scale, mission-critical data center portfolios, enhancing reliability and capacity management for managed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insourcing critical infrastructure services to improve agility and reduce dependency in a complex transition.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enablement, including strategic AWS migrations and deployment of an Agentic AI system for autonomous AIOps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of over 100,000 physical IT assets, ensuring high availability and performance across regulated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generating $8M savings through automation, vendor renegotiation, and license optimization for global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 (e.g., Scotiabank), ensuring consistency and quality across international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fostering people leadership and talent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ITIL-based frameworks for end-to-end capacity management and managed services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to accelerate response times and enhance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ITSM consulting and automation strategies for major telecom and BFSI clients, aligning initiatives with operational excellence goals.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SOPs and performance dashboards, significantly improving managed services delivery speed and quality during critical transition phases.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Problem/Change Management, overseeing Root Cause Analysis (RCA), implementing risk-controlled changes, chairing Change Advisory Boards (CAB), and ensuring governance for critical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implemented tailored frameworks to enhance compliance and operational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robust enterprise monitoring frameworks for critical infrastructure, leveraging tools like Nagios, Zabbix, and HP OpenView to enhance oversight.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major release deployments for British Telecom, ensuring minimal disruption through meticulous planning and execution during critical transition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timely resolution of issues across critical healthcare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escalations for mission-critical telecom systems, significantly reducing downtime through rapid resolution and effective troubleshooting.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L1/L2 engineers and authored SOP documentation, enhancing team capabilities and knowledge transfer across support functions.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ENTREPRENEURIAL VENTURES — Founder &amp; Executive Architect, AI-Driven Academic Intelligence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AI-Native Ecosystem Architecture: Founded and architected a proprietary K-12 assessment engine using Google Gemini API to automate the generation of NCERT-aligned pedagogical content. Deployed the unique LPG (Learn, Practice, Grow) mastery model to personalize student remediation paths within a live, revenue-generating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Commercial Infrastructure: Engineered a serverless, scalable platform using Firebase Authentication and Supabase. Implemented a copyrighted Double-Lock security protocol (Grade + Stream validation) and Silent Trial logic to enforce granular access control and B2B subscription validity.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Institutional Business Intelligence: Built executive-grade Looker Dashboards providing role-based insights for Principals and Educators. Developed Cognitive Weakness Heatmaps and predictive risk modeling to transform raw exam data into actionable institutional strategy.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 &amp; Strategic Leadership: Successfully filed Indian Copyright (Software &amp; Literary) for the platform’s source code and administrative methodology. Led end-to-end product strategy, from defining the Manual-First RBAC governance model to establishing a scalable licensing architecture for institutional adoption.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monetization model, and enterprise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AI-driven dashboards, analytics,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across AI strategy, architecture, delivery, and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FinOps Platforms: Azure Monitor, CloudWatch, Grafana, CoreStack, ECAM, Flexera, AWS, GCP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Monitoring: ScienceLogic, Datadog, New Relic, Prometheus, Tanzu, Distributed Tracing, Telemetry Correlation, Alerting</w:t>
      </w:r>
    </w:p>
    <w:p>
      <w:r>
        <w:rPr>
          <w:sz w:val="22"/>
          <w:szCs w:val="22"/>
          <w:rFonts w:ascii="Calibri" w:cs="Calibri" w:eastAsia="Calibri" w:hAnsi="Calibri"/>
        </w:rPr>
        <w:t xml:space="preserve">ITSM &amp; Service Management: ServiceNow, Remedy, Jira Service Management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 &amp; Automation: Ansible, VMware Tanzu, HP OpenView, SolarWinds, Zabbix, Infrastructure-as-Code, Serverless Functions, CI/CD (GitHub Actions)</w:t>
      </w:r>
    </w:p>
    <w:p>
      <w:r>
        <w:rPr>
          <w:sz w:val="22"/>
          <w:szCs w:val="22"/>
          <w:rFonts w:ascii="Calibri" w:cs="Calibri" w:eastAsia="Calibri" w:hAnsi="Calibri"/>
        </w:rPr>
        <w:t xml:space="preserve">Backend &amp; Platform Engineering: API Design &amp; Integration, Data Modeling, Authentication, RBAC, Scalable Architecture, Microservices</w:t>
      </w:r>
    </w:p>
    <w:p>
      <w:r>
        <w:rPr>
          <w:sz w:val="22"/>
          <w:szCs w:val="22"/>
          <w:rFonts w:ascii="Calibri" w:cs="Calibri" w:eastAsia="Calibri" w:hAnsi="Calibri"/>
        </w:rPr>
        <w:t xml:space="preserve">Software Engineering (Scripting): Python, JavaScript, Shell Scripting, Automated Diagnostics, Workflow Orchestration</w:t>
      </w:r>
    </w:p>
    <w:p>
      <w:r>
        <w:rPr>
          <w:sz w:val="22"/>
          <w:szCs w:val="22"/>
          <w:rFonts w:ascii="Calibri" w:cs="Calibri" w:eastAsia="Calibri" w:hAnsi="Calibri"/>
        </w:rPr>
        <w:t xml:space="preserve">Business Intelligence &amp; Visualization: Power BI, MS Visio, Looker Dashboards, Analytics Pipelines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2025-12-21T02:47:31.391Z</dcterms:created>
  <dcterms:modified xsi:type="dcterms:W3CDTF">2025-12-21T02:47:31.392Z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