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 distinguished IT executive with 21+ years of global leadership, specializing in enterprise-scale IT operations, service delivery, and strategic digital transformation. Expert in architecting and executing comprehensive IT strategies, ensuring high availability, scalability, and robust security for critical infrastructure and business applications, including SAP. Proven track record in orchestrating outsourced service provider governance, optimizing operational costs, and leveraging AI-driven automation for enhanced service quality and efficiency. Adept at driving ITIL-based service management, compliance, and continuous improvement initiatives across complex, matrixed environments. Poised to deliver transformational leadership as VP, Global IT Operations at a leading global enterprise, championing operational excellence and strategic IT alignment.</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IT Service Management (ITSM) | ITIL Frameworks &amp; Processes | ERP &amp; SAP Operations | Vendor Governance &amp; Performance | Cloud &amp; Platform Strategy | Financial Operations (FinOps) | Regulatory Compliance &amp; Cybersecurity | Risk Mitigation &amp; Disaster Recovery | Global Operations &amp; Delivery | AI-Driven Automation &amp; Monitoring | ServiceNow Adoption &amp; Optimization</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Led strategic ITSM assessments and advisory engagements for global enterprise clients (healthcare, BFSI), ensuring compliance with NIST and ITIL frameworks.</w:t>
      </w:r>
    </w:p>
    <w:p>
      <w:pPr>
        <w:pStyle w:val="ListParagraph"/>
        <w:numPr>
          <w:ilvl w:val="0"/>
          <w:numId w:val="1"/>
        </w:numPr>
        <w:spacing w:after="60"/>
      </w:pPr>
      <w:r>
        <w:t xml:space="preserve">Engineered and deployed an AI-driven automation framework, reducing recurring service failures by 60% and enhancing overall reliability across client portfolios.</w:t>
      </w:r>
    </w:p>
    <w:p>
      <w:pPr>
        <w:pStyle w:val="ListParagraph"/>
        <w:numPr>
          <w:ilvl w:val="0"/>
          <w:numId w:val="1"/>
        </w:numPr>
        <w:spacing w:after="60"/>
      </w:pPr>
      <w:r>
        <w:t xml:space="preserve">Directed FinOps initiatives, developing hybrid-cloud cost optimization dashboards and accelerators that drove significant budget efficiencies for large enterprises.</w:t>
      </w:r>
    </w:p>
    <w:p>
      <w:pPr>
        <w:pStyle w:val="ListParagraph"/>
        <w:numPr>
          <w:ilvl w:val="0"/>
          <w:numId w:val="1"/>
        </w:numPr>
        <w:spacing w:after="60"/>
      </w:pPr>
      <w:r>
        <w:t xml:space="preserve">Cultivated strategic partnerships with global leadership (US, LatAm, Europe, APAC) to architect and deliver comprehensive IT platform modernization roadmaps.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Oversaw global service delivery for mission-critical data center portfolios, enhancing reliability, capacity management, and operational resilience.</w:t>
      </w:r>
    </w:p>
    <w:p>
      <w:pPr>
        <w:pStyle w:val="ListParagraph"/>
        <w:numPr>
          <w:ilvl w:val="0"/>
          <w:numId w:val="1"/>
        </w:numPr>
        <w:spacing w:after="60"/>
      </w:pPr>
      <w:r>
        <w:t xml:space="preserve">Orchestrated a $30M+ vendor displacement and insourcing program for critical infrastructure services, significantly improving operational agility and reducing external dependencies.</w:t>
      </w:r>
    </w:p>
    <w:p>
      <w:pPr>
        <w:pStyle w:val="ListParagraph"/>
        <w:numPr>
          <w:ilvl w:val="0"/>
          <w:numId w:val="1"/>
        </w:numPr>
        <w:spacing w:after="60"/>
      </w:pPr>
      <w:r>
        <w:t xml:space="preserve">Championed Cloud &amp; DevOps transformation, including AWS migrations and deploying an Agentic AI system for autonomous response to AIOps insights.</w:t>
      </w:r>
    </w:p>
    <w:p>
      <w:pPr>
        <w:pStyle w:val="ListParagraph"/>
        <w:numPr>
          <w:ilvl w:val="0"/>
          <w:numId w:val="1"/>
        </w:numPr>
        <w:spacing w:after="60"/>
      </w:pPr>
      <w:r>
        <w:t xml:space="preserve">Directed the global operations of 100,000+ physical IT assets (servers, network infrastructure), ensuring enterprise-wide high availability and performance.</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a $25M annual OPEX budget, achieving $8M in savings through strategic automation, vendor renegotiation, and license optimization initiatives.</w:t>
      </w:r>
    </w:p>
    <w:p>
      <w:pPr>
        <w:pStyle w:val="ListParagraph"/>
        <w:numPr>
          <w:ilvl w:val="0"/>
          <w:numId w:val="1"/>
        </w:numPr>
        <w:spacing w:after="60"/>
      </w:pPr>
      <w:r>
        <w:t xml:space="preserve">Provided global delivery leadership for complex, high-stakes service engagements (e.g., Scotiabank), ensuring operational consistency across global centers of excellence.</w:t>
      </w:r>
    </w:p>
    <w:p>
      <w:pPr>
        <w:pStyle w:val="ListParagraph"/>
        <w:numPr>
          <w:ilvl w:val="0"/>
          <w:numId w:val="1"/>
        </w:numPr>
        <w:spacing w:after="60"/>
      </w:pPr>
      <w:r>
        <w:t xml:space="preserve">Built and scaled a global Capacity Management Center of Excellence from 10 to 250 members across 5 countries, standardizing processes and elevating capabilities.</w:t>
      </w:r>
    </w:p>
    <w:p>
      <w:pPr>
        <w:pStyle w:val="ListParagraph"/>
        <w:numPr>
          <w:ilvl w:val="0"/>
          <w:numId w:val="1"/>
        </w:numPr>
        <w:spacing w:after="60"/>
      </w:pPr>
      <w:r>
        <w:t xml:space="preserve">Orchestrated the global standardization of ITIL-based frameworks for end-to-end capacity management across diverse enterprise client environments.</w:t>
      </w:r>
    </w:p>
    <w:p>
      <w:pPr>
        <w:pStyle w:val="ListParagraph"/>
        <w:numPr>
          <w:ilvl w:val="0"/>
          <w:numId w:val="1"/>
        </w:numPr>
        <w:spacing w:after="60"/>
      </w:pPr>
      <w:r>
        <w:t xml:space="preserve">Modernized global contact center operations through AI-driven insights, significantly accelerating response times and enhancing user experience.</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strategic ITSM consulting and automation roadmaps for major telecom and BFSI enterprises, aligning IT services directly with business objectives.</w:t>
      </w:r>
    </w:p>
    <w:p>
      <w:pPr>
        <w:pStyle w:val="ListParagraph"/>
        <w:numPr>
          <w:ilvl w:val="0"/>
          <w:numId w:val="1"/>
        </w:numPr>
        <w:spacing w:after="60"/>
      </w:pPr>
      <w:r>
        <w:t xml:space="preserve">Instituted robust SOPs and performance dashboards, leading to measurable improvements in service delivery speed, quality, and transparency.</w:t>
      </w:r>
    </w:p>
    <w:p>
      <w:pPr>
        <w:pStyle w:val="ListParagraph"/>
        <w:numPr>
          <w:ilvl w:val="0"/>
          <w:numId w:val="1"/>
        </w:numPr>
        <w:spacing w:after="60"/>
      </w:pPr>
      <w:r>
        <w:t xml:space="preserve">Directed enterprise-wide Problem and Change Management processes, driving Root Cause Analysis, implementing risk-controlled changes, and ensuring robust governance.</w:t>
      </w:r>
    </w:p>
    <w:p>
      <w:pPr>
        <w:pStyle w:val="ListParagraph"/>
        <w:numPr>
          <w:ilvl w:val="0"/>
          <w:numId w:val="1"/>
        </w:numPr>
        <w:spacing w:after="60"/>
      </w:pPr>
      <w:r>
        <w:t xml:space="preserve">Conducted comprehensive ITIL assessments and deployed tailored frameworks, enhancing regulatory compliance and operational efficiency for diverse clients.</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Architected and implemented enterprise monitoring strategies leveraging tools like Nagios and Zabbix, significantly enhancing system visibility and proactive issue detection.</w:t>
      </w:r>
    </w:p>
    <w:p>
      <w:pPr>
        <w:pStyle w:val="ListParagraph"/>
        <w:numPr>
          <w:ilvl w:val="0"/>
          <w:numId w:val="1"/>
        </w:numPr>
        <w:spacing w:after="60"/>
      </w:pPr>
      <w:r>
        <w:t xml:space="preserve">Directed major release deployments for British Telecom, ensuring high service continuity and minimal business disruption.</w:t>
      </w:r>
    </w:p>
    <w:p>
      <w:pPr>
        <w:pStyle w:val="ListParagraph"/>
        <w:numPr>
          <w:ilvl w:val="0"/>
          <w:numId w:val="1"/>
        </w:numPr>
        <w:spacing w:after="60"/>
      </w:pPr>
      <w:r>
        <w:t xml:space="preserve">Led critical application support operations for NHS UK, ensuring timely resolution and high availability across vital healthcare platforms.</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Managed resolution of high-impact escalations for mission-critical telecom systems, drastically minimizing business disruption.</w:t>
      </w:r>
    </w:p>
    <w:p>
      <w:pPr>
        <w:pStyle w:val="ListParagraph"/>
        <w:numPr>
          <w:ilvl w:val="0"/>
          <w:numId w:val="1"/>
        </w:numPr>
        <w:spacing w:after="60"/>
      </w:pPr>
      <w:r>
        <w:t xml:space="preserve">Significantly reduced system downtime through rapid incident resolution and advanced troubleshooting methodologies.</w:t>
      </w:r>
    </w:p>
    <w:p>
      <w:pPr>
        <w:pStyle w:val="ListParagraph"/>
        <w:numPr>
          <w:ilvl w:val="0"/>
          <w:numId w:val="1"/>
        </w:numPr>
        <w:spacing w:after="60"/>
      </w:pPr>
      <w:r>
        <w:t xml:space="preserve">Mentored and trained L1/L2 engineers, concurrently authoring comprehensive SOP documentation to elevate team capabilities and operational consistency.</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&amp; FinOps: Azure (Solutions Architect), AWS, GCP, Grafana, CoreStack, Flexera</w:t>
      </w:r>
    </w:p>
    <w:p>
      <w:r>
        <w:rPr>
          <w:sz w:val="22"/>
          <w:szCs w:val="22"/>
          <w:rFonts w:ascii="Calibri" w:cs="Calibri" w:eastAsia="Calibri" w:hAnsi="Calibri"/>
        </w:rPr>
        <w:t xml:space="preserve">Monitoring &amp; Observability: ScienceLogic, Datadog, New Relic, Prometheus, Zabbix, Distributed Tracing, Telemetry</w:t>
      </w:r>
    </w:p>
    <w:p>
      <w:r>
        <w:rPr>
          <w:sz w:val="22"/>
          <w:szCs w:val="22"/>
          <w:rFonts w:ascii="Calibri" w:cs="Calibri" w:eastAsia="Calibri" w:hAnsi="Calibri"/>
        </w:rPr>
        <w:t xml:space="preserve">ITSM &amp; Automation: ServiceNow, Remedy, Jira Service Management, API Automation, Workflow Orchestration, CI/CD, Python</w:t>
      </w:r>
    </w:p>
    <w:p>
      <w:r>
        <w:rPr>
          <w:sz w:val="22"/>
          <w:szCs w:val="22"/>
          <w:rFonts w:ascii="Calibri" w:cs="Calibri" w:eastAsia="Calibri" w:hAnsi="Calibri"/>
        </w:rPr>
        <w:t xml:space="preserve">Infrastructure &amp; SRE: Ansible, VMware Tanzu, Infrastructure-as-Code, Reliability Engineering, Serverless, Event-Driven Automation</w:t>
      </w:r>
    </w:p>
    <w:p>
      <w:r>
        <w:rPr>
          <w:sz w:val="22"/>
          <w:szCs w:val="22"/>
          <w:rFonts w:ascii="Calibri" w:cs="Calibri" w:eastAsia="Calibri" w:hAnsi="Calibri"/>
        </w:rPr>
        <w:t xml:space="preserve">Data &amp; Analytics: Power BI, Data Pipeline Automation</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2025-12-23T00:29:36.905Z</dcterms:created>
  <dcterms:modified xsi:type="dcterms:W3CDTF">2025-12-23T00:29:36.905Z</dcterms:modified>
</cp:coreProperties>
</file>

<file path=docProps/custom.xml><?xml version="1.0" encoding="utf-8"?>
<Properties xmlns="http://schemas.openxmlformats.org/officeDocument/2006/custom-properties" xmlns:vt="http://schemas.openxmlformats.org/officeDocument/2006/docPropsVTypes"/>
</file>