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38"/>
          <w:szCs w:val="38"/>
          <w:rFonts w:ascii="Calibri" w:cs="Calibri" w:eastAsia="Calibri" w:hAnsi="Calibri"/>
        </w:rPr>
        <w:t xml:space="preserve">Keshav Karn</w:t>
      </w:r>
    </w:p>
    <w:p>
      <w:r>
        <w:rPr>
          <w:sz w:val="22"/>
          <w:szCs w:val="22"/>
          <w:rFonts w:ascii="Calibri" w:cs="Calibri" w:eastAsia="Calibri" w:hAnsi="Calibri"/>
        </w:rPr>
        <w:t xml:space="preserve">Hyderabad, India | 8520977573 | keshav.karn@gmail.com</w:t>
      </w:r>
    </w:p>
    <w:p>
      <w:pPr>
        <w:spacing w:after="40"/>
      </w:pPr>
      <w:r>
        <w:rPr>
          <w:sz w:val="22"/>
          <w:szCs w:val="22"/>
          <w:rFonts w:ascii="Calibri" w:cs="Calibri" w:eastAsia="Calibri" w:hAnsi="Calibri"/>
        </w:rPr>
        <w:t xml:space="preserve">LinkedIn: https://www.linkedin.com/in/keshavkarn/ | Credly: https://www.credly.com/users/keshav-karn</w:t>
      </w:r>
    </w:p>
    <w:p>
      <w:pPr>
        <w:spacing w:before="200" w:after="100"/>
      </w:pPr>
      <w:r>
        <w:rPr>
          <w:b/>
          <w:bCs/>
          <w:sz w:val="26"/>
          <w:szCs w:val="26"/>
          <w:caps/>
          <w:rFonts w:ascii="Calibri" w:cs="Calibri" w:eastAsia="Calibri" w:hAnsi="Calibri"/>
        </w:rPr>
        <w:t xml:space="preserve">EXECUTIVE SUMMARY</w:t>
      </w:r>
    </w:p>
    <w:p>
      <w:pPr>
        <w:spacing w:after="80"/>
      </w:pPr>
      <w:r>
        <w:rPr>
          <w:sz w:val="22"/>
          <w:szCs w:val="22"/>
          <w:rFonts w:ascii="Calibri" w:cs="Calibri" w:eastAsia="Calibri" w:hAnsi="Calibri"/>
        </w:rPr>
        <w:t xml:space="preserve">Seasoned IT executive with 21+ years of global experience, driving enterprise-scale digital transformation and engineering excellence across financial services. Expert in leading diverse product engineering teams, modernizing cloud-native platforms, and leveraging advanced AI/ML for operational efficiency, TCO optimization, and robust security posture. Adept at cultivating innovation, scaling global engineering competence, and ensuring rigorous compliance for exceptional customer outcomes. Strategically positioned to lead and elevate engineering capabilities as a TARGET_ROLE at TARGET_COMPANY.</w:t>
      </w:r>
    </w:p>
    <w:p>
      <w:pPr>
        <w:spacing w:before="200" w:after="100"/>
      </w:pPr>
      <w:r>
        <w:rPr>
          <w:b/>
          <w:bCs/>
          <w:sz w:val="26"/>
          <w:szCs w:val="26"/>
          <w:caps/>
          <w:rFonts w:ascii="Calibri" w:cs="Calibri" w:eastAsia="Calibri" w:hAnsi="Calibri"/>
        </w:rPr>
        <w:t xml:space="preserve">CORE STRENGTHS</w:t>
      </w:r>
    </w:p>
    <w:p>
      <w:r>
        <w:rPr>
          <w:sz w:val="22"/>
          <w:szCs w:val="22"/>
          <w:rFonts w:ascii="Calibri" w:cs="Calibri" w:eastAsia="Calibri" w:hAnsi="Calibri"/>
        </w:rPr>
        <w:t xml:space="preserve">Strategic Engineering Leadership, Global Team Development, Product &amp; Platform Strategy, Cloud Transformation, AI/ML Integration, FinOps &amp; TCO Optimization, Enterprise Risk &amp; Compliance, Agile at Scale, Customer Experience Innovation, Strategic Stakeholder Engagement</w:t>
      </w:r>
    </w:p>
    <w:p>
      <w:pPr>
        <w:spacing w:before="200" w:after="100"/>
      </w:pPr>
      <w:r>
        <w:rPr>
          <w:b/>
          <w:bCs/>
          <w:sz w:val="26"/>
          <w:szCs w:val="26"/>
          <w:caps/>
          <w:rFonts w:ascii="Calibri" w:cs="Calibri" w:eastAsia="Calibri" w:hAnsi="Calibri"/>
        </w:rPr>
        <w:t xml:space="preserve">EXPERIENCE</w:t>
      </w:r>
    </w:p>
    <w:p>
      <w:pPr>
        <w:spacing w:before="120"/>
      </w:pPr>
      <w:r>
        <w:rPr>
          <w:b/>
          <w:bCs/>
          <w:sz w:val="22"/>
          <w:szCs w:val="22"/>
          <w:rFonts w:ascii="Calibri" w:cs="Calibri" w:eastAsia="Calibri" w:hAnsi="Calibri"/>
        </w:rPr>
        <w:t xml:space="preserve">Company: PwC — Senior Manager (Sep 2024 – Present)</w:t>
      </w:r>
    </w:p>
    <w:p>
      <w:pPr>
        <w:pStyle w:val="ListParagraph"/>
        <w:numPr>
          <w:ilvl w:val="0"/>
          <w:numId w:val="1"/>
        </w:numPr>
        <w:spacing w:after="60"/>
      </w:pPr>
      <w:r>
        <w:t xml:space="preserve">Directed strategic ITSM and AI/ML advisory for Fortune 500 clients in healthcare and BFSI, aligning enterprise service delivery with NIST/ITIL standards to enhance operational resilience.</w:t>
      </w:r>
    </w:p>
    <w:p>
      <w:pPr>
        <w:pStyle w:val="ListParagraph"/>
        <w:numPr>
          <w:ilvl w:val="0"/>
          <w:numId w:val="1"/>
        </w:numPr>
        <w:spacing w:after="60"/>
      </w:pPr>
      <w:r>
        <w:t xml:space="preserve">Architected and deployed an AI-driven automation framework, reducing critical service failures by 60% and significantly improving system reliability.</w:t>
      </w:r>
    </w:p>
    <w:p>
      <w:pPr>
        <w:pStyle w:val="ListParagraph"/>
        <w:numPr>
          <w:ilvl w:val="0"/>
          <w:numId w:val="1"/>
        </w:numPr>
        <w:spacing w:after="60"/>
      </w:pPr>
      <w:r>
        <w:t xml:space="preserve">Spearheaded FinOps strategy development, implementing hybrid-cloud cost optimization dashboards and accelerators that yielded proactive budget management and substantial TCO reductions.</w:t>
      </w:r>
    </w:p>
    <w:p>
      <w:pPr>
        <w:pStyle w:val="ListParagraph"/>
        <w:numPr>
          <w:ilvl w:val="0"/>
          <w:numId w:val="1"/>
        </w:numPr>
        <w:spacing w:after="60"/>
      </w:pPr>
      <w:r>
        <w:t xml:space="preserve">Partnered with global leadership across US, LatAm, Europe, and APAC to define and execute comprehensive platform modernization roadmaps, ensuring cross-geographic operational consistency and process streamlining.</w:t>
      </w:r>
    </w:p>
    <w:p>
      <w:pPr>
        <w:spacing w:before="120"/>
      </w:pPr>
      <w:r>
        <w:rPr>
          <w:b/>
          <w:bCs/>
          <w:sz w:val="22"/>
          <w:szCs w:val="22"/>
          <w:rFonts w:ascii="Calibri" w:cs="Calibri" w:eastAsia="Calibri" w:hAnsi="Calibri"/>
        </w:rPr>
        <w:t xml:space="preserve">Company: Kyndryl Solutions Pvt. Ltd. — Associate Director (Sep 2021 – Aug 2024)</w:t>
      </w:r>
    </w:p>
    <w:p>
      <w:pPr>
        <w:pStyle w:val="ListParagraph"/>
        <w:numPr>
          <w:ilvl w:val="0"/>
          <w:numId w:val="1"/>
        </w:numPr>
        <w:spacing w:after="60"/>
      </w:pPr>
      <w:r>
        <w:t xml:space="preserve">Led global Site Reliability Engineering for mission-critical data center portfolios, significantly enhancing infrastructure capacity management and fortifying operational resilience across multi-geo environments.</w:t>
      </w:r>
    </w:p>
    <w:p>
      <w:pPr>
        <w:pStyle w:val="ListParagraph"/>
        <w:numPr>
          <w:ilvl w:val="0"/>
          <w:numId w:val="1"/>
        </w:numPr>
        <w:spacing w:after="60"/>
      </w:pPr>
      <w:r>
        <w:t xml:space="preserve">Orchestrated a $30M+ vendor displacement initiative, strategically insourcing critical infrastructure services to elevate organizational agility and mitigate external dependencies.</w:t>
      </w:r>
    </w:p>
    <w:p>
      <w:pPr>
        <w:pStyle w:val="ListParagraph"/>
        <w:numPr>
          <w:ilvl w:val="0"/>
          <w:numId w:val="1"/>
        </w:numPr>
        <w:spacing w:after="60"/>
      </w:pPr>
      <w:r>
        <w:t xml:space="preserve">Championed enterprise-wide Cloud &amp; DevOps transformation, overseeing strategic AWS migrations and the integration of Agentic AI for advanced autonomous AIOps response.</w:t>
      </w:r>
    </w:p>
    <w:p>
      <w:pPr>
        <w:pStyle w:val="ListParagraph"/>
        <w:numPr>
          <w:ilvl w:val="0"/>
          <w:numId w:val="1"/>
        </w:numPr>
        <w:spacing w:after="60"/>
      </w:pPr>
      <w:r>
        <w:t xml:space="preserve">Managed the operational health and performance of 100,000+ physical IT assets, ensuring high availability and robust security posture across a vast global estate.</w:t>
      </w:r>
    </w:p>
    <w:p>
      <w:pPr>
        <w:spacing w:before="120"/>
      </w:pPr>
      <w:r>
        <w:rPr>
          <w:b/>
          <w:bCs/>
          <w:sz w:val="22"/>
          <w:szCs w:val="22"/>
          <w:rFonts w:ascii="Calibri" w:cs="Calibri" w:eastAsia="Calibri" w:hAnsi="Calibri"/>
        </w:rPr>
        <w:t xml:space="preserve">Company: IBM India Pvt. Ltd. — Global Process Owner (Jan 2014 – Aug 2021)</w:t>
      </w:r>
    </w:p>
    <w:p>
      <w:pPr>
        <w:pStyle w:val="ListParagraph"/>
        <w:numPr>
          <w:ilvl w:val="0"/>
          <w:numId w:val="1"/>
        </w:numPr>
        <w:spacing w:after="60"/>
      </w:pPr>
      <w:r>
        <w:t xml:space="preserve">Managed $25M annual OPEX for global service delivery, generating $8M in savings through automation, strategic vendor renegotiation, and license optimization, directly contributing to UK&amp;I revenue growth.</w:t>
      </w:r>
    </w:p>
    <w:p>
      <w:pPr>
        <w:pStyle w:val="ListParagraph"/>
        <w:numPr>
          <w:ilvl w:val="0"/>
          <w:numId w:val="1"/>
        </w:numPr>
        <w:spacing w:after="60"/>
      </w:pPr>
      <w:r>
        <w:t xml:space="preserve">Provided global delivery leadership for complex service engagements (e.g., Scotiabank), ensuring consistent service execution and standardizing ITSM processes across international centers.</w:t>
      </w:r>
    </w:p>
    <w:p>
      <w:pPr>
        <w:pStyle w:val="ListParagraph"/>
        <w:numPr>
          <w:ilvl w:val="0"/>
          <w:numId w:val="1"/>
        </w:numPr>
        <w:spacing w:after="60"/>
      </w:pPr>
      <w:r>
        <w:t xml:space="preserve">Built and scaled a Capacity Management Center of Excellence from 10 to 250 members across 5 countries, embedding data-driven continuous improvement methodologies.</w:t>
      </w:r>
    </w:p>
    <w:p>
      <w:pPr>
        <w:pStyle w:val="ListParagraph"/>
        <w:numPr>
          <w:ilvl w:val="0"/>
          <w:numId w:val="1"/>
        </w:numPr>
        <w:spacing w:after="60"/>
      </w:pPr>
      <w:r>
        <w:t xml:space="preserve">Standardized ITIL-based frameworks for end-to-end capacity management and modernized contact center operations using AI-driven insights to accelerate response times and elevate customer experience.</w:t>
      </w:r>
    </w:p>
    <w:p>
      <w:pPr>
        <w:spacing w:before="120"/>
      </w:pPr>
      <w:r>
        <w:rPr>
          <w:b/>
          <w:bCs/>
          <w:sz w:val="22"/>
          <w:szCs w:val="22"/>
          <w:rFonts w:ascii="Calibri" w:cs="Calibri" w:eastAsia="Calibri" w:hAnsi="Calibri"/>
        </w:rPr>
        <w:t xml:space="preserve">Company: Wipro Technologies — Senior Consultant (Jun 2010 – Nov 2013)</w:t>
      </w:r>
    </w:p>
    <w:p>
      <w:pPr>
        <w:pStyle w:val="ListParagraph"/>
        <w:numPr>
          <w:ilvl w:val="0"/>
          <w:numId w:val="1"/>
        </w:numPr>
        <w:spacing w:after="60"/>
      </w:pPr>
      <w:r>
        <w:t xml:space="preserve">Delivered strategic ITSM and automation consulting for major telecom and BFSI clients, enhancing operational efficiency and elevating service quality.</w:t>
      </w:r>
    </w:p>
    <w:p>
      <w:pPr>
        <w:pStyle w:val="ListParagraph"/>
        <w:numPr>
          <w:ilvl w:val="0"/>
          <w:numId w:val="1"/>
        </w:numPr>
        <w:spacing w:after="60"/>
      </w:pPr>
      <w:r>
        <w:t xml:space="preserve">Implemented standardized operating procedures and performance dashboards, significantly improving delivery velocity and quality metrics for enterprise projects.</w:t>
      </w:r>
    </w:p>
    <w:p>
      <w:pPr>
        <w:pStyle w:val="ListParagraph"/>
        <w:numPr>
          <w:ilvl w:val="0"/>
          <w:numId w:val="1"/>
        </w:numPr>
        <w:spacing w:after="60"/>
      </w:pPr>
      <w:r>
        <w:t xml:space="preserve">Led Problem and Change Management, orchestrating Root Cause Analysis, implementing risk-controlled changes, and chairing Change Advisory Boards to ensure robust governance and incident prevention.</w:t>
      </w:r>
    </w:p>
    <w:p>
      <w:pPr>
        <w:pStyle w:val="ListParagraph"/>
        <w:numPr>
          <w:ilvl w:val="0"/>
          <w:numId w:val="1"/>
        </w:numPr>
        <w:spacing w:after="60"/>
      </w:pPr>
      <w:r>
        <w:t xml:space="preserve">Conducted comprehensive ITIL assessments and deployed tailored frameworks, enhancing client compliance and operational maturity.</w:t>
      </w:r>
    </w:p>
    <w:p>
      <w:pPr>
        <w:spacing w:before="120"/>
      </w:pPr>
      <w:r>
        <w:rPr>
          <w:b/>
          <w:bCs/>
          <w:sz w:val="22"/>
          <w:szCs w:val="22"/>
          <w:rFonts w:ascii="Calibri" w:cs="Calibri" w:eastAsia="Calibri" w:hAnsi="Calibri"/>
        </w:rPr>
        <w:t xml:space="preserve">Company: Tech Mahindra Ltd. — Senior Technical Associate (Oct 2006 – May 2010)</w:t>
      </w:r>
    </w:p>
    <w:p>
      <w:pPr>
        <w:pStyle w:val="ListParagraph"/>
        <w:numPr>
          <w:ilvl w:val="0"/>
          <w:numId w:val="1"/>
        </w:numPr>
        <w:spacing w:after="60"/>
      </w:pPr>
      <w:r>
        <w:t xml:space="preserve">Established foundational observability and monitoring for client infrastructure, leveraging enterprise tools to proactively identify and mitigate system issues.</w:t>
      </w:r>
    </w:p>
    <w:p>
      <w:pPr>
        <w:pStyle w:val="ListParagraph"/>
        <w:numPr>
          <w:ilvl w:val="0"/>
          <w:numId w:val="1"/>
        </w:numPr>
        <w:spacing w:after="60"/>
      </w:pPr>
      <w:r>
        <w:t xml:space="preserve">Successfully managed major release deployments for British Telecom, achieving high availability and change success rates with minimal service disruption.</w:t>
      </w:r>
    </w:p>
    <w:p>
      <w:pPr>
        <w:pStyle w:val="ListParagraph"/>
        <w:numPr>
          <w:ilvl w:val="0"/>
          <w:numId w:val="1"/>
        </w:numPr>
        <w:spacing w:after="60"/>
      </w:pPr>
      <w:r>
        <w:t xml:space="preserve">Led critical application support for NHS UK, ensuring timely resolution of high-priority issues across healthcare platforms and maintaining stringent service level agreements.</w:t>
      </w:r>
    </w:p>
    <w:p>
      <w:pPr>
        <w:spacing w:before="120"/>
      </w:pPr>
      <w:r>
        <w:rPr>
          <w:b/>
          <w:bCs/>
          <w:sz w:val="22"/>
          <w:szCs w:val="22"/>
          <w:rFonts w:ascii="Calibri" w:cs="Calibri" w:eastAsia="Calibri" w:hAnsi="Calibri"/>
        </w:rPr>
        <w:t xml:space="preserve">Company: Mainstay Teleservices — Sr. 2nd Line Specialist (Mar 2003 – Oct 2006)</w:t>
      </w:r>
    </w:p>
    <w:p>
      <w:pPr>
        <w:pStyle w:val="ListParagraph"/>
        <w:numPr>
          <w:ilvl w:val="0"/>
          <w:numId w:val="1"/>
        </w:numPr>
        <w:spacing w:after="60"/>
      </w:pPr>
      <w:r>
        <w:t xml:space="preserve">Managed high-impact escalations and provided expert support for mission-critical telecom systems, reducing incident resolution times and enhancing service continuity.</w:t>
      </w:r>
    </w:p>
    <w:p>
      <w:pPr>
        <w:pStyle w:val="ListParagraph"/>
        <w:numPr>
          <w:ilvl w:val="0"/>
          <w:numId w:val="1"/>
        </w:numPr>
        <w:spacing w:after="60"/>
      </w:pPr>
      <w:r>
        <w:t xml:space="preserve">Resolved complex system issues and proactively addressed potential failures, contributing to reduced downtime and enhanced system stability.</w:t>
      </w:r>
    </w:p>
    <w:p>
      <w:pPr>
        <w:pStyle w:val="ListParagraph"/>
        <w:numPr>
          <w:ilvl w:val="0"/>
          <w:numId w:val="1"/>
        </w:numPr>
        <w:spacing w:after="60"/>
      </w:pPr>
      <w:r>
        <w:t xml:space="preserve">Developed and delivered training programs for L1/L2 engineers and authored comprehensive SOPs, enhancing team capabilities and streamlining incident management processes.</w:t>
      </w:r>
    </w:p>
    <w:p>
      <w:pPr>
        <w:spacing w:before="200" w:after="100"/>
      </w:pPr>
      <w:r>
        <w:rPr>
          <w:b/>
          <w:bCs/>
          <w:sz w:val="26"/>
          <w:szCs w:val="26"/>
          <w:caps/>
          <w:rFonts w:ascii="Calibri" w:cs="Calibri" w:eastAsia="Calibri" w:hAnsi="Calibri"/>
        </w:rPr>
        <w:t xml:space="preserve">PORTFOLIO PROJECTS</w:t>
      </w:r>
    </w:p>
    <w:p>
      <w:pPr>
        <w:pStyle w:val="ListParagraph"/>
        <w:numPr>
          <w:ilvl w:val="0"/>
          <w:numId w:val="1"/>
        </w:numPr>
        <w:spacing w:after="60"/>
      </w:pPr>
      <w:r>
        <w:t xml:space="preserve">AI-Enabled Academic Strategy &amp; Institutional Intelligence Leadership</w:t>
      </w:r>
    </w:p>
    <w:p>
      <w:pPr>
        <w:pStyle w:val="ListParagraph"/>
        <w:numPr>
          <w:ilvl w:val="0"/>
          <w:numId w:val="1"/>
        </w:numPr>
        <w:spacing w:after="60"/>
      </w:pPr>
      <w:r>
        <w:t xml:space="preserve">Founder &amp; Executive Architect — AI-Driven Education Platforms</w:t>
      </w:r>
    </w:p>
    <w:p>
      <w:pPr>
        <w:pStyle w:val="ListParagraph"/>
        <w:numPr>
          <w:ilvl w:val="0"/>
          <w:numId w:val="1"/>
        </w:numPr>
        <w:spacing w:after="60"/>
      </w:pPr>
      <w:r>
        <w:t xml:space="preserve">Platform vision, scalability, monetization</w:t>
      </w:r>
    </w:p>
    <w:p>
      <w:pPr>
        <w:pStyle w:val="ListParagraph"/>
        <w:numPr>
          <w:ilvl w:val="0"/>
          <w:numId w:val="1"/>
        </w:numPr>
        <w:spacing w:after="60"/>
      </w:pPr>
      <w:r>
        <w:t xml:space="preserve">AI-powered dashboards and decision intelligence</w:t>
      </w:r>
    </w:p>
    <w:p>
      <w:pPr>
        <w:pStyle w:val="ListParagraph"/>
        <w:numPr>
          <w:ilvl w:val="0"/>
          <w:numId w:val="1"/>
        </w:numPr>
        <w:spacing w:after="60"/>
      </w:pPr>
      <w:r>
        <w:t xml:space="preserve">End-to-end leadership and measurable ROI</w:t>
      </w:r>
    </w:p>
    <w:p>
      <w:pPr>
        <w:spacing w:before="200" w:after="100"/>
      </w:pPr>
      <w:r>
        <w:rPr>
          <w:b/>
          <w:bCs/>
          <w:sz w:val="26"/>
          <w:szCs w:val="26"/>
          <w:caps/>
          <w:rFonts w:ascii="Calibri" w:cs="Calibri" w:eastAsia="Calibri" w:hAnsi="Calibri"/>
        </w:rPr>
        <w:t xml:space="preserve">TECHNICAL LEADERSHIP SKILLS</w:t>
      </w:r>
    </w:p>
    <w:p>
      <w:r>
        <w:rPr>
          <w:sz w:val="22"/>
          <w:szCs w:val="22"/>
          <w:rFonts w:ascii="Calibri" w:cs="Calibri" w:eastAsia="Calibri" w:hAnsi="Calibri"/>
        </w:rPr>
        <w:t xml:space="preserve">Cloud Platforms: Azure, AWS, GCP, Data Center Operations</w:t>
      </w:r>
    </w:p>
    <w:p>
      <w:r>
        <w:rPr>
          <w:sz w:val="22"/>
          <w:szCs w:val="22"/>
          <w:rFonts w:ascii="Calibri" w:cs="Calibri" w:eastAsia="Calibri" w:hAnsi="Calibri"/>
        </w:rPr>
        <w:t xml:space="preserve">Site Reliability Engineering: Observability (Datadog, New Relic, Prometheus, Grafana), Distributed Tracing, SLOs</w:t>
      </w:r>
    </w:p>
    <w:p>
      <w:r>
        <w:rPr>
          <w:sz w:val="22"/>
          <w:szCs w:val="22"/>
          <w:rFonts w:ascii="Calibri" w:cs="Calibri" w:eastAsia="Calibri" w:hAnsi="Calibri"/>
        </w:rPr>
        <w:t xml:space="preserve">DevOps &amp; Automation: CI/CD, Infrastructure-as-Code (Ansible), Workflow Orchestration, Python</w:t>
      </w:r>
    </w:p>
    <w:p>
      <w:r>
        <w:rPr>
          <w:sz w:val="22"/>
          <w:szCs w:val="22"/>
          <w:rFonts w:ascii="Calibri" w:cs="Calibri" w:eastAsia="Calibri" w:hAnsi="Calibri"/>
        </w:rPr>
        <w:t xml:space="preserve">Backend &amp; Platform: API Design, Microservices, Serverless, Data Modeling</w:t>
      </w:r>
    </w:p>
    <w:p>
      <w:r>
        <w:rPr>
          <w:sz w:val="22"/>
          <w:szCs w:val="22"/>
          <w:rFonts w:ascii="Calibri" w:cs="Calibri" w:eastAsia="Calibri" w:hAnsi="Calibri"/>
        </w:rPr>
        <w:t xml:space="preserve">IT Service Management: ServiceNow, Remedy, Jira Service Management</w:t>
      </w:r>
    </w:p>
    <w:p>
      <w:r>
        <w:rPr>
          <w:sz w:val="22"/>
          <w:szCs w:val="22"/>
          <w:rFonts w:ascii="Calibri" w:cs="Calibri" w:eastAsia="Calibri" w:hAnsi="Calibri"/>
        </w:rPr>
        <w:t xml:space="preserve">Cloud Cost Management: CoreStack, Flexera, Budget Optimization, MI &amp; Metrics (Power BI)</w:t>
      </w:r>
    </w:p>
    <w:p>
      <w:r>
        <w:rPr>
          <w:sz w:val="22"/>
          <w:szCs w:val="22"/>
          <w:rFonts w:ascii="Calibri" w:cs="Calibri" w:eastAsia="Calibri" w:hAnsi="Calibri"/>
        </w:rPr>
        <w:t xml:space="preserve">Security Operations: Vulnerability Management, Network Infrastructure, Security Dashboards</w:t>
      </w:r>
    </w:p>
    <w:p>
      <w:pPr>
        <w:spacing w:before="200" w:after="100"/>
      </w:pPr>
      <w:r>
        <w:rPr>
          <w:b/>
          <w:bCs/>
          <w:sz w:val="26"/>
          <w:szCs w:val="26"/>
          <w:caps/>
          <w:rFonts w:ascii="Calibri" w:cs="Calibri" w:eastAsia="Calibri" w:hAnsi="Calibri"/>
        </w:rPr>
        <w:t xml:space="preserve">CERTIFICATIONS</w:t>
      </w:r>
    </w:p>
    <w:p>
      <w:pPr>
        <w:pStyle w:val="ListParagraph"/>
        <w:numPr>
          <w:ilvl w:val="0"/>
          <w:numId w:val="1"/>
        </w:numPr>
        <w:spacing w:after="60"/>
      </w:pPr>
      <w:r>
        <w:t xml:space="preserve">Microsoft Azure Solutions Architect Expert</w:t>
      </w:r>
    </w:p>
    <w:p>
      <w:pPr>
        <w:pStyle w:val="ListParagraph"/>
        <w:numPr>
          <w:ilvl w:val="0"/>
          <w:numId w:val="1"/>
        </w:numPr>
        <w:spacing w:after="60"/>
      </w:pPr>
      <w:r>
        <w:t xml:space="preserve">AWS Certified Cloud Practitioner</w:t>
      </w:r>
    </w:p>
    <w:p>
      <w:pPr>
        <w:pStyle w:val="ListParagraph"/>
        <w:numPr>
          <w:ilvl w:val="0"/>
          <w:numId w:val="1"/>
        </w:numPr>
        <w:spacing w:after="60"/>
      </w:pPr>
      <w:r>
        <w:t xml:space="preserve">FinOps Certified Practitioner</w:t>
      </w:r>
    </w:p>
    <w:p>
      <w:pPr>
        <w:pStyle w:val="ListParagraph"/>
        <w:numPr>
          <w:ilvl w:val="0"/>
          <w:numId w:val="1"/>
        </w:numPr>
        <w:spacing w:after="60"/>
      </w:pPr>
      <w:r>
        <w:t xml:space="preserve">Google Digital Leader</w:t>
      </w:r>
    </w:p>
    <w:p>
      <w:pPr>
        <w:pStyle w:val="ListParagraph"/>
        <w:numPr>
          <w:ilvl w:val="0"/>
          <w:numId w:val="1"/>
        </w:numPr>
        <w:spacing w:after="60"/>
      </w:pPr>
      <w:r>
        <w:t xml:space="preserve">IBM Architect &amp; Consulting Badges</w:t>
      </w:r>
    </w:p>
    <w:p>
      <w:pPr>
        <w:pStyle w:val="ListParagraph"/>
        <w:numPr>
          <w:ilvl w:val="0"/>
          <w:numId w:val="1"/>
        </w:numPr>
        <w:spacing w:after="60"/>
      </w:pPr>
      <w:r>
        <w:t xml:space="preserve">ITIL v3</w:t>
      </w:r>
    </w:p>
    <w:p>
      <w:pPr>
        <w:pStyle w:val="ListParagraph"/>
        <w:numPr>
          <w:ilvl w:val="0"/>
          <w:numId w:val="1"/>
        </w:numPr>
        <w:spacing w:after="60"/>
      </w:pPr>
      <w:r>
        <w:t xml:space="preserve">COBIT 4.1</w:t>
      </w:r>
    </w:p>
    <w:p>
      <w:pPr>
        <w:spacing w:before="200" w:after="100"/>
      </w:pPr>
      <w:r>
        <w:rPr>
          <w:b/>
          <w:bCs/>
          <w:sz w:val="26"/>
          <w:szCs w:val="26"/>
          <w:caps/>
          <w:rFonts w:ascii="Calibri" w:cs="Calibri" w:eastAsia="Calibri" w:hAnsi="Calibri"/>
        </w:rPr>
        <w:t xml:space="preserve">EDUCATION</w:t>
      </w:r>
    </w:p>
    <w:p>
      <w:pPr>
        <w:pStyle w:val="ListParagraph"/>
        <w:numPr>
          <w:ilvl w:val="0"/>
          <w:numId w:val="1"/>
        </w:numPr>
        <w:spacing w:after="60"/>
      </w:pPr>
      <w:r>
        <w:t xml:space="preserve">Post Graduate Programme in Project Management – IIT Roorkee, 2025</w:t>
      </w:r>
    </w:p>
    <w:p>
      <w:pPr>
        <w:pStyle w:val="ListParagraph"/>
        <w:numPr>
          <w:ilvl w:val="0"/>
          <w:numId w:val="1"/>
        </w:numPr>
        <w:spacing w:after="60"/>
      </w:pPr>
      <w:r>
        <w:t xml:space="preserve">Master’s in Information Technology – Manipal Academy of Higher Education, 2002</w:t>
      </w:r>
    </w:p>
    <w:p>
      <w:pPr>
        <w:pStyle w:val="ListParagraph"/>
        <w:numPr>
          <w:ilvl w:val="0"/>
          <w:numId w:val="1"/>
        </w:numPr>
        <w:spacing w:after="60"/>
      </w:pPr>
      <w:r>
        <w:t xml:space="preserve">Bachelor of Science – Anugrah Narayan College, Patna University, 1999</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2025-12-13T10:53:27.645Z</dcterms:created>
  <dcterms:modified xsi:type="dcterms:W3CDTF">2025-12-13T10:53:27.645Z</dcterms:modified>
</cp:coreProperties>
</file>

<file path=docProps/custom.xml><?xml version="1.0" encoding="utf-8"?>
<Properties xmlns="http://schemas.openxmlformats.org/officeDocument/2006/custom-properties" xmlns:vt="http://schemas.openxmlformats.org/officeDocument/2006/docPropsVTypes"/>
</file>