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b/>
          <w:bCs/>
          <w:sz w:val="40"/>
          <w:szCs w:val="40"/>
          <w:rFonts w:ascii="Calibri" w:cs="Calibri" w:eastAsia="Calibri" w:hAnsi="Calibri"/>
        </w:rPr>
        <w:t xml:space="preserve">Keshav Karn</w:t>
      </w:r>
    </w:p>
    <w:p>
      <w:pPr>
        <w:spacing w:after="20"/>
        <w:jc w:val="left"/>
      </w:pPr>
      <w:r>
        <w:rPr>
          <w:sz w:val="22"/>
          <w:szCs w:val="22"/>
          <w:rFonts w:ascii="Calibri" w:cs="Calibri" w:eastAsia="Calibri" w:hAnsi="Calibri"/>
        </w:rPr>
        <w:t xml:space="preserve">Hyderabad, India</w:t>
      </w:r>
    </w:p>
    <w:p>
      <w:pPr>
        <w:spacing w:after="20"/>
        <w:jc w:val="left"/>
      </w:pPr>
      <w:r>
        <w:rPr>
          <w:sz w:val="22"/>
          <w:szCs w:val="22"/>
          <w:rFonts w:ascii="Calibri" w:cs="Calibri" w:eastAsia="Calibri" w:hAnsi="Calibri"/>
        </w:rPr>
        <w:t xml:space="preserve">8520977573</w:t>
      </w:r>
    </w:p>
    <w:p>
      <w:pPr>
        <w:spacing w:after="20"/>
        <w:jc w:val="left"/>
      </w:pPr>
      <w:r>
        <w:rPr>
          <w:sz w:val="22"/>
          <w:szCs w:val="22"/>
          <w:rFonts w:ascii="Calibri" w:cs="Calibri" w:eastAsia="Calibri" w:hAnsi="Calibri"/>
        </w:rPr>
        <w:t xml:space="preserve">keshav.karn@gmail.com</w:t>
      </w:r>
    </w:p>
    <w:p>
      <w:pPr>
        <w:spacing w:after="20"/>
        <w:jc w:val="left"/>
      </w:pPr>
      <w:r>
        <w:rPr>
          <w:sz w:val="22"/>
          <w:szCs w:val="22"/>
          <w:rFonts w:ascii="Calibri" w:cs="Calibri" w:eastAsia="Calibri" w:hAnsi="Calibri"/>
        </w:rPr>
        <w:t xml:space="preserve">LinkedIn: https://www.linkedin.com/in/keshavkarn/</w:t>
      </w:r>
    </w:p>
    <w:p>
      <w:pPr>
        <w:spacing w:after="20"/>
        <w:jc w:val="left"/>
      </w:pPr>
      <w:r>
        <w:rPr>
          <w:sz w:val="22"/>
          <w:szCs w:val="22"/>
          <w:rFonts w:ascii="Calibri" w:cs="Calibri" w:eastAsia="Calibri" w:hAnsi="Calibri"/>
        </w:rPr>
        <w:t xml:space="preserve">Credly: https://www.credly.com/users/keshav-karn</w:t>
      </w:r>
    </w:p>
    <w:p>
      <w:pPr>
        <w:spacing w:after="20"/>
        <w:jc w:val="left"/>
      </w:pPr>
      <w:r>
        <w:rPr>
          <w:sz w:val="22"/>
          <w:szCs w:val="22"/>
          <w:rFonts w:ascii="Calibri" w:cs="Calibri" w:eastAsia="Calibri" w:hAnsi="Calibri"/>
        </w:rPr>
        <w:t xml:space="preserve">Ready4Industry: https://ready4industry.in</w:t>
      </w:r>
    </w:p>
    <w:p>
      <w:pPr>
        <w:spacing w:after="20"/>
        <w:jc w:val="left"/>
      </w:pPr>
      <w:r>
        <w:rPr>
          <w:sz w:val="22"/>
          <w:szCs w:val="22"/>
          <w:rFonts w:ascii="Calibri" w:cs="Calibri" w:eastAsia="Calibri" w:hAnsi="Calibri"/>
        </w:rPr>
        <w:t xml:space="preserve">Ready4Exam GitHub: https://ready4exam.github.io/ready4exam-class-11/</w:t>
      </w:r>
    </w:p>
    <w:p>
      <w:pPr>
        <w:spacing w:after="80"/>
      </w:pPr>
    </w:p>
    <w:p>
      <w:pPr>
        <w:spacing w:before="200" w:after="12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PROFESSIONAL SUMMARY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Strategic technology leader with over 21 years of experience directing global operations and delivering significant commercial outcomes. Accountable for a $25M operational budget, achieving $8M (32%) in savings through strategic sourcing and aggressive vendor renegotiation. Architected and executed a $30M+ vendor displacement program to optimize the partner ecosystem and improve margins. Proven success in building and scaling high-performing, future-ready organizations from 10 to 250 professionals to support enterprise customers across European and North American markets.</w:t>
      </w:r>
    </w:p>
    <w:p>
      <w:pPr>
        <w:spacing w:before="200" w:after="12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CORE SKILLS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Technology Sourcing &amp; Partner Management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Commercial Management &amp; Financial Acumen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Strategic Sourcing &amp; Vendor Negotiation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Global Supply Chain &amp; Logistics Management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P&amp;L Accountability &amp; Cost Optimization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Procurement &amp; Asset Lifecycle Management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Operational Excellence &amp; Continuous Improvement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IT Infrastructure &amp; Cloud Partner Ecosystems (Dell, HP, Cisco)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Leadership &amp; Global Team Scaling (to 250+)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Senior Stakeholder Management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European &amp; North American Market Alignment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Profit Generation &amp; Margin Enhancement</w:t>
      </w:r>
    </w:p>
    <w:p>
      <w:pPr>
        <w:spacing w:before="200" w:after="12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EXPERIENCE</w:t>
      </w:r>
    </w:p>
    <w:p>
      <w:pPr>
        <w:spacing w:before="16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PwC — Senior Manager (Offer Accepted, Start Date: Sep 2024)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Engaged to advise enterprise clients on IT strategy and FinOps, focusing on aligning technology investments with commercial objectives and driving AI-powered service delivery automation.</w:t>
      </w:r>
    </w:p>
    <w:p>
      <w:pPr>
        <w:spacing w:before="16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Kyndryl Solutions Pvt. Ltd. — Associate Director (Sep 2021 – Aug 2024)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Led a strategic $30M+ vendor displacement program, insourcing critical services to directly improve commercial margins, enhance service agility, and realign the technology partner ecosystem.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Directed global operations, procurement, and logistics for a portfolio of 100,000+ mission-critical IT assets, implementing standardized processes that improved asset tracking and delivery efficiency.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Architected cloud migration initiatives (AWS), providing strategic guidance on modern technology sourcing and infrastructure procurement to reduce Total Cost of Ownership (TCO) for global clients.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Mentored and developed a team of operations managers, instilling a culture of continuous improvement that increased customer satisfaction and supported scalable growth.</w:t>
      </w:r>
    </w:p>
    <w:p>
      <w:pPr>
        <w:spacing w:before="16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IBM India Pvt. Ltd. — Global Process Owner (Jan 2014 – Aug 2021)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Owned a $25M annual OPEX budget, driving bottom-line growth by delivering $8M (32%) in savings through strategic sourcing, vendor renegotiation, and robust commercial governance.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Built and scaled a global Center of Excellence from 10 to 250 professionals across 5 countries, creating a scalable, future-ready organization to meet ambitious growth targets.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Directed global service delivery for key enterprise customers in Europe and North America, strengthening cross-functional collaboration and ensuring alignment with global commercial best practices.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Standardized ITIL-based frameworks to enhance operational efficiency, manage margin performance, and ensure sustainable profitability across service lines.</w:t>
      </w:r>
    </w:p>
    <w:p>
      <w:pPr>
        <w:spacing w:before="16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Wipro Technologies — Senior Consultant (Jun 2010 – Nov 2013)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Delivered ITSM consulting and automation strategies for major telecom and BFSI clients, improving service delivery models and operational efficiency.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Led Change and Problem Management functions, chairing the Change Advisory Board (CAB) to ensure risk-controlled governance for technology deployments.</w:t>
      </w:r>
    </w:p>
    <w:p>
      <w:pPr>
        <w:spacing w:before="16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Tech Mahindra Ltd. — Senior Technical Associate (Oct 2006 – May 2010)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Managed major infrastructure release deployments with minimal business disruption for British Telecom, a key European enterprise customer.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Deployed and administered enterprise monitoring tools (Nagios, Zabbix, HP OpenView) to ensure service uptime for large-scale client environments.</w:t>
      </w:r>
    </w:p>
    <w:p>
      <w:pPr>
        <w:spacing w:before="16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Mainstay Teleservices — Sr. 2nd Line Specialist (Mar 2003 – Oct 2006)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Served as the lead technical escalation point for mission-critical telecom systems, reducing incident resolution times and improving service stability.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Authored standard operating procedures (SOPs) and trained junior engineers to establish service delivery best practices.</w:t>
      </w:r>
    </w:p>
    <w:p>
      <w:pPr>
        <w:spacing w:before="200" w:after="12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TECHNICAL SKILLS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Cloud &amp; FinOps: Azure, AWS, CoreStack, Flexera, Grafana, CloudWatch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ITSM &amp; BI: ServiceNow, Jira Service Management, Remedy, Power BI, MS Visio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Infrastructure &amp; Automation: Ansible, VMware, ScienceLogic, Datadog, HP OpenView, SolarWinds, Zabbix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Vendor Ecosystems: Experience managing relationships and services related to Microsoft, Cisco, Dell, HP technologies</w:t>
      </w:r>
    </w:p>
    <w:p>
      <w:pPr>
        <w:spacing w:before="200" w:after="12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- Microsoft Azure Solutions Architect Expert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- AWS Certified Cloud Practitioner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- FinOps Certified Practitioner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- Google Digital Leader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- IBM Architect &amp; Consulting Badges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- ITIL v3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- COBIT 4.1</w:t>
      </w:r>
    </w:p>
    <w:p>
      <w:pPr>
        <w:spacing w:before="200" w:after="12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EDUCATION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- Post Graduate Programme in Project Management – IIT Roorkee, 2025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- Master’s in Information Technology – Manipal Academy of Higher Education, 2002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- Bachelor of Science – Anugrah Narayan College, Patna University, 1999</w:t>
      </w:r>
    </w:p>
    <w:sectPr>
      <w:pgSz w:w="11906" w:h="16838" w:orient="portrait"/>
      <w:pgMar w:top="1440" w:right="1150" w:bottom="144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2025-12-04T09:51:06.987Z</dcterms:created>
  <dcterms:modified xsi:type="dcterms:W3CDTF">2025-12-04T09:51:06.988Z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