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An accomplished executive with 21+ years of global experience, driving enterprise-wide technology strategy, operational excellence, and transformative outcomes. Proven leader in modernizing Business Intelligence platforms, spearheading AI-driven insights, and developing sophisticated analytics strategies that translate into measurable business impact. Adept at transforming organizations from reactive reporting to proactive, predictive, and prescriptive decision intelligence at scale. Commands global teams, orchestrates high-stakes stakeholder engagement, and embeds a data-first mindset across complex international enterprises. Poised to lead Warner Bros. Discovery's analytics and insights function, driving strategic impact and innovation through advanced BI and AI capabilities.</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Enterprise Analytics Strategy | Business Intelligence Leadership | AI/Augmented Insights | Platform Modernization | Global Team Leadership | Stakeholder Engagement | Data Governance &amp; Quality | Operational Excellence | Decision Intelligence | FinOps Advisory</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Led strategic analytics advisory for enterprise clients, integrating BI frameworks with business impact and regulatory compliance (e.g., NIST).</w:t>
      </w:r>
    </w:p>
    <w:p>
      <w:pPr>
        <w:pStyle w:val="ListParagraph"/>
        <w:numPr>
          <w:ilvl w:val="0"/>
          <w:numId w:val="1"/>
        </w:numPr>
        <w:spacing w:after="60"/>
      </w:pPr>
      <w:r>
        <w:t xml:space="preserve">Pioneered an Agentic AI solution within FinOps advisory, significantly enhancing predictive cost optimization and resource utilization across diverse cloud environments.</w:t>
      </w:r>
    </w:p>
    <w:p>
      <w:pPr>
        <w:pStyle w:val="ListParagraph"/>
        <w:numPr>
          <w:ilvl w:val="0"/>
          <w:numId w:val="1"/>
        </w:numPr>
        <w:spacing w:after="60"/>
      </w:pPr>
      <w:r>
        <w:t xml:space="preserve">Directed FinOps team in developing multi-cloud cost dashboards (e.g., Looker), delivering granular visibility into cloud provider spend for proactive budget management and resource allocation for enterprise clients.</w:t>
      </w:r>
    </w:p>
    <w:p>
      <w:pPr>
        <w:pStyle w:val="ListParagraph"/>
        <w:numPr>
          <w:ilvl w:val="0"/>
          <w:numId w:val="1"/>
        </w:numPr>
        <w:spacing w:after="60"/>
      </w:pPr>
      <w:r>
        <w:t xml:space="preserve">Drove strategic partnerships with global leadership, transforming complex analytics into actionable insights to guide large-scale platform modernization initiatives.</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Led global technology service delivery and reliability engineering, ensuring peak performance and 99.99% availability for mission-critical platforms across extensive data center portfolios.</w:t>
      </w:r>
    </w:p>
    <w:p>
      <w:pPr>
        <w:pStyle w:val="ListParagraph"/>
        <w:numPr>
          <w:ilvl w:val="0"/>
          <w:numId w:val="1"/>
        </w:numPr>
        <w:spacing w:after="60"/>
      </w:pPr>
      <w:r>
        <w:t xml:space="preserve">Directed a $30M+ strategic program to insource critical infrastructure services, significantly enhancing platform agility, cost efficiency, and operational control.</w:t>
      </w:r>
    </w:p>
    <w:p>
      <w:pPr>
        <w:pStyle w:val="ListParagraph"/>
        <w:numPr>
          <w:ilvl w:val="0"/>
          <w:numId w:val="1"/>
        </w:numPr>
        <w:spacing w:after="60"/>
      </w:pPr>
      <w:r>
        <w:t xml:space="preserve">Championed enterprise cloud migration and DevOps enablement, integrating AI-powered AIOps for autonomous incident response and proactive problem resolution across distributed systems.</w:t>
      </w:r>
    </w:p>
    <w:p>
      <w:pPr>
        <w:pStyle w:val="ListParagraph"/>
        <w:numPr>
          <w:ilvl w:val="0"/>
          <w:numId w:val="1"/>
        </w:numPr>
        <w:spacing w:after="60"/>
      </w:pPr>
      <w:r>
        <w:t xml:space="preserve">Oversaw operational excellence for a portfolio of 100,000+ IT assets, optimizing performance and upholding stringent availability standards for enterprise-scale operations.</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$25M annual OPEX budget, achieving $8M in savings through strategic resource utilization optimization and process automation initiatives.</w:t>
      </w:r>
    </w:p>
    <w:p>
      <w:pPr>
        <w:pStyle w:val="ListParagraph"/>
        <w:numPr>
          <w:ilvl w:val="0"/>
          <w:numId w:val="1"/>
        </w:numPr>
        <w:spacing w:after="60"/>
      </w:pPr>
      <w:r>
        <w:t xml:space="preserve">Provided global leadership for complex service engagements (e.g., Scotiabank), establishing consistent BI and reporting standards across international delivery centers.</w:t>
      </w:r>
    </w:p>
    <w:p>
      <w:pPr>
        <w:pStyle w:val="ListParagraph"/>
        <w:numPr>
          <w:ilvl w:val="0"/>
          <w:numId w:val="1"/>
        </w:numPr>
        <w:spacing w:after="60"/>
      </w:pPr>
      <w:r>
        <w:t xml:space="preserve">Built and scaled a Capacity Management Center of Excellence from 10 to 250 members across 5 countries, institutionalizing data-driven resource planning and forecasting expertise.</w:t>
      </w:r>
    </w:p>
    <w:p>
      <w:pPr>
        <w:pStyle w:val="ListParagraph"/>
        <w:numPr>
          <w:ilvl w:val="0"/>
          <w:numId w:val="1"/>
        </w:numPr>
        <w:spacing w:after="60"/>
      </w:pPr>
      <w:r>
        <w:t xml:space="preserve">Established enterprise-wide KPI frameworks and deployed Power BI dashboards for resource utilization, standardizing capacity management practices and driving efficiency globally.</w:t>
      </w:r>
    </w:p>
    <w:p>
      <w:pPr>
        <w:pStyle w:val="ListParagraph"/>
        <w:numPr>
          <w:ilvl w:val="0"/>
          <w:numId w:val="1"/>
        </w:numPr>
        <w:spacing w:after="60"/>
      </w:pPr>
      <w:r>
        <w:t xml:space="preserve">Modernized contact center operations by integrating AI-driven insights, significantly accelerating response times and improving customer experience across global touchpoints.</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Delivered strategic consulting engagements on analytics adoption and automation for major telecom and BFSI clients, driving operational efficiencies.</w:t>
      </w:r>
    </w:p>
    <w:p>
      <w:pPr>
        <w:pStyle w:val="ListParagraph"/>
        <w:numPr>
          <w:ilvl w:val="0"/>
          <w:numId w:val="1"/>
        </w:numPr>
        <w:spacing w:after="60"/>
      </w:pPr>
      <w:r>
        <w:t xml:space="preserve">Introduced standardized operational procedures and performance dashboards, enhancing delivery speed and analytical quality across client engagements.</w:t>
      </w:r>
    </w:p>
    <w:p>
      <w:pPr>
        <w:pStyle w:val="ListParagraph"/>
        <w:numPr>
          <w:ilvl w:val="0"/>
          <w:numId w:val="1"/>
        </w:numPr>
        <w:spacing w:after="60"/>
      </w:pPr>
      <w:r>
        <w:t xml:space="preserve">Led problem and change management initiatives, establishing governance frameworks and driving root cause analysis for complex operational transformations.</w:t>
      </w:r>
    </w:p>
    <w:p>
      <w:pPr>
        <w:spacing w:before="12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Deployed enterprise monitoring tools, establishing foundational telemetry and performance insight capabilities for critical systems.</w:t>
      </w:r>
    </w:p>
    <w:p>
      <w:pPr>
        <w:pStyle w:val="ListParagraph"/>
        <w:numPr>
          <w:ilvl w:val="0"/>
          <w:numId w:val="1"/>
        </w:numPr>
        <w:spacing w:after="60"/>
      </w:pPr>
      <w:r>
        <w:t xml:space="preserve">Managed major release deployments, ensuring minimal disruption and maintaining service continuity for core platforms.</w:t>
      </w:r>
    </w:p>
    <w:p>
      <w:pPr>
        <w:pStyle w:val="ListParagraph"/>
        <w:numPr>
          <w:ilvl w:val="0"/>
          <w:numId w:val="1"/>
        </w:numPr>
        <w:spacing w:after="60"/>
      </w:pPr>
      <w:r>
        <w:t xml:space="preserve">Led application support for critical healthcare platforms, consistently ensuring timely issue resolution and upholding stringent service level agreements.</w:t>
      </w:r>
    </w:p>
    <w:p>
      <w:pPr>
        <w:spacing w:before="120"/>
      </w:pPr>
      <w:r>
        <w:rPr>
          <w:b/>
          <w:bCs/>
          <w:sz w:val="22"/>
          <w:szCs w:val="22"/>
          <w:rFonts w:ascii="Calibri" w:cs="Calibri" w:eastAsia="Calibri" w:hAnsi="Calibri"/>
        </w:rPr>
        <w:t xml:space="preserve">Company: Mainstay Teleservices — Senior 2nd Line Specialist (Mar 2003 – Oct 2006)</w:t>
      </w:r>
    </w:p>
    <w:p>
      <w:pPr>
        <w:pStyle w:val="ListParagraph"/>
        <w:numPr>
          <w:ilvl w:val="0"/>
          <w:numId w:val="1"/>
        </w:numPr>
        <w:spacing w:after="60"/>
      </w:pPr>
      <w:r>
        <w:t xml:space="preserve">Handled high-impact technical escalations for mission-critical telecom systems, minimizing downtime through rapid resolution.</w:t>
      </w:r>
    </w:p>
    <w:p>
      <w:pPr>
        <w:pStyle w:val="ListParagraph"/>
        <w:numPr>
          <w:ilvl w:val="0"/>
          <w:numId w:val="1"/>
        </w:numPr>
        <w:spacing w:after="60"/>
      </w:pPr>
      <w:r>
        <w:t xml:space="preserve">Contributed to knowledge management, training engineers, and authoring standard operating procedures to enhance team efficiency.</w:t>
      </w:r>
    </w:p>
    <w:p>
      <w:pPr>
        <w:spacing w:before="200" w:after="100"/>
      </w:pPr>
      <w:r>
        <w:rPr>
          <w:b/>
          <w:bCs/>
          <w:sz w:val="26"/>
          <w:szCs w:val="26"/>
          <w:caps/>
          <w:rFonts w:ascii="Calibri" w:cs="Calibri" w:eastAsia="Calibri" w:hAnsi="Calibri"/>
        </w:rPr>
        <w:t xml:space="preserve">PORTFOLIO PROJECTS</w:t>
      </w:r>
    </w:p>
    <w:p>
      <w:pPr>
        <w:pStyle w:val="ListParagraph"/>
        <w:numPr>
          <w:ilvl w:val="0"/>
          <w:numId w:val="1"/>
        </w:numPr>
        <w:spacing w:after="60"/>
      </w:pPr>
      <w:r>
        <w:t xml:space="preserve">AI-Enabled Academic Strategy &amp; Institutional Intelligence Leadership</w:t>
      </w:r>
    </w:p>
    <w:p>
      <w:pPr>
        <w:pStyle w:val="ListParagraph"/>
        <w:numPr>
          <w:ilvl w:val="0"/>
          <w:numId w:val="1"/>
        </w:numPr>
        <w:spacing w:after="60"/>
      </w:pPr>
      <w:r>
        <w:t xml:space="preserve">Founder &amp; Executive Architect — AI-Driven Education Platforms</w:t>
      </w:r>
    </w:p>
    <w:p>
      <w:pPr>
        <w:pStyle w:val="ListParagraph"/>
        <w:numPr>
          <w:ilvl w:val="0"/>
          <w:numId w:val="1"/>
        </w:numPr>
        <w:spacing w:after="60"/>
      </w:pPr>
      <w:r>
        <w:t xml:space="preserve">Platform vision, scalability, monetization</w:t>
      </w:r>
    </w:p>
    <w:p>
      <w:pPr>
        <w:pStyle w:val="ListParagraph"/>
        <w:numPr>
          <w:ilvl w:val="0"/>
          <w:numId w:val="1"/>
        </w:numPr>
        <w:spacing w:after="60"/>
      </w:pPr>
      <w:r>
        <w:t xml:space="preserve">AI-powered dashboards and decision intelligence</w:t>
      </w:r>
    </w:p>
    <w:p>
      <w:pPr>
        <w:pStyle w:val="ListParagraph"/>
        <w:numPr>
          <w:ilvl w:val="0"/>
          <w:numId w:val="1"/>
        </w:numPr>
        <w:spacing w:after="60"/>
      </w:pPr>
      <w:r>
        <w:t xml:space="preserve">End-to-end leadership and measurable ROI</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Analytics &amp; BI Platforms: Tableau, MicroStrategy, SAP BusinessObjects, MS Visio, Augmented Analytics platforms</w:t>
      </w:r>
    </w:p>
    <w:p>
      <w:r>
        <w:rPr>
          <w:sz w:val="22"/>
          <w:szCs w:val="22"/>
          <w:rFonts w:ascii="Calibri" w:cs="Calibri" w:eastAsia="Calibri" w:hAnsi="Calibri"/>
        </w:rPr>
        <w:t xml:space="preserve">Cloud &amp; FinOps: Azure, AWS, GCP, Grafana, CoreStack, ECAM, Flexera, Cloud Cost Optimization platforms</w:t>
      </w:r>
    </w:p>
    <w:p>
      <w:r>
        <w:rPr>
          <w:sz w:val="22"/>
          <w:szCs w:val="22"/>
          <w:rFonts w:ascii="Calibri" w:cs="Calibri" w:eastAsia="Calibri" w:hAnsi="Calibri"/>
        </w:rPr>
        <w:t xml:space="preserve">Data &amp; AI Technologies: Agentic AI concepts, Natural Language Querying (NLQ), Automated Insights, Causal Inference, Simulation Modeling, AI-generated Narratives</w:t>
      </w:r>
    </w:p>
    <w:p>
      <w:r>
        <w:rPr>
          <w:sz w:val="22"/>
          <w:szCs w:val="22"/>
          <w:rFonts w:ascii="Calibri" w:cs="Calibri" w:eastAsia="Calibri" w:hAnsi="Calibri"/>
        </w:rPr>
        <w:t xml:space="preserve">Observability &amp; Monitoring: Datadog, New Relic, Prometheus, ScienceLogic, SolarWinds, Distributed Tracing, AIOps platforms</w:t>
      </w:r>
    </w:p>
    <w:p>
      <w:r>
        <w:rPr>
          <w:sz w:val="22"/>
          <w:szCs w:val="22"/>
          <w:rFonts w:ascii="Calibri" w:cs="Calibri" w:eastAsia="Calibri" w:hAnsi="Calibri"/>
        </w:rPr>
        <w:t xml:space="preserve">Automation &amp; DevOps: Python, JavaScript, Shell Scripting, GitHub Actions, CI/CD Workflows, Infrastructure-as-Code Principles, API Integration</w:t>
      </w:r>
    </w:p>
    <w:p>
      <w:r>
        <w:rPr>
          <w:sz w:val="22"/>
          <w:szCs w:val="22"/>
          <w:rFonts w:ascii="Calibri" w:cs="Calibri" w:eastAsia="Calibri" w:hAnsi="Calibri"/>
        </w:rPr>
        <w:t xml:space="preserve">ITSM &amp; Service Management: ServiceNow, Remedy, Jira Service Management, ITIL Frameworks</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2025-12-13T11:22:42.779Z</dcterms:created>
  <dcterms:modified xsi:type="dcterms:W3CDTF">2025-12-13T11:22:42.779Z</dcterms:modified>
</cp:coreProperties>
</file>

<file path=docProps/custom.xml><?xml version="1.0" encoding="utf-8"?>
<Properties xmlns="http://schemas.openxmlformats.org/officeDocument/2006/custom-properties" xmlns:vt="http://schemas.openxmlformats.org/officeDocument/2006/docPropsVTypes"/>
</file>