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40"/>
          <w:szCs w:val="40"/>
          <w:rFonts w:ascii="Calibri" w:cs="Calibri" w:eastAsia="Calibri" w:hAnsi="Calibri"/>
        </w:rPr>
        <w:t xml:space="preserve">Keshav Karn</w:t>
      </w:r>
    </w:p>
    <w:p>
      <w:pPr>
        <w:spacing w:after="20"/>
        <w:jc w:val="left"/>
      </w:pPr>
      <w:r>
        <w:rPr>
          <w:sz w:val="22"/>
          <w:szCs w:val="22"/>
          <w:rFonts w:ascii="Calibri" w:cs="Calibri" w:eastAsia="Calibri" w:hAnsi="Calibri"/>
        </w:rPr>
        <w:t xml:space="preserve">Hyderabad, India</w:t>
      </w:r>
    </w:p>
    <w:p>
      <w:pPr>
        <w:spacing w:after="20"/>
        <w:jc w:val="left"/>
      </w:pPr>
      <w:r>
        <w:rPr>
          <w:sz w:val="22"/>
          <w:szCs w:val="22"/>
          <w:rFonts w:ascii="Calibri" w:cs="Calibri" w:eastAsia="Calibri" w:hAnsi="Calibri"/>
        </w:rPr>
        <w:t xml:space="preserve">8520977573</w:t>
      </w:r>
    </w:p>
    <w:p>
      <w:pPr>
        <w:spacing w:after="20"/>
        <w:jc w:val="left"/>
      </w:pPr>
      <w:r>
        <w:rPr>
          <w:sz w:val="22"/>
          <w:szCs w:val="22"/>
          <w:rFonts w:ascii="Calibri" w:cs="Calibri" w:eastAsia="Calibri" w:hAnsi="Calibri"/>
        </w:rPr>
        <w:t xml:space="preserve">keshav.karn@gmail.com</w:t>
      </w:r>
    </w:p>
    <w:p>
      <w:pPr>
        <w:spacing w:after="20"/>
        <w:jc w:val="left"/>
      </w:pPr>
      <w:r>
        <w:rPr>
          <w:sz w:val="22"/>
          <w:szCs w:val="22"/>
          <w:rFonts w:ascii="Calibri" w:cs="Calibri" w:eastAsia="Calibri" w:hAnsi="Calibri"/>
        </w:rPr>
        <w:t xml:space="preserve">LinkedIn: https://www.linkedin.com/in/keshavkarn/</w:t>
      </w:r>
    </w:p>
    <w:p>
      <w:pPr>
        <w:spacing w:after="20"/>
        <w:jc w:val="left"/>
      </w:pPr>
      <w:r>
        <w:rPr>
          <w:sz w:val="22"/>
          <w:szCs w:val="22"/>
          <w:rFonts w:ascii="Calibri" w:cs="Calibri" w:eastAsia="Calibri" w:hAnsi="Calibri"/>
        </w:rPr>
        <w:t xml:space="preserve">Credly: https://www.credly.com/users/keshav-karn</w:t>
      </w:r>
    </w:p>
    <w:p>
      <w:pPr>
        <w:spacing w:after="20"/>
        <w:jc w:val="left"/>
      </w:pPr>
      <w:r>
        <w:rPr>
          <w:sz w:val="22"/>
          <w:szCs w:val="22"/>
          <w:rFonts w:ascii="Calibri" w:cs="Calibri" w:eastAsia="Calibri" w:hAnsi="Calibri"/>
        </w:rPr>
        <w:t xml:space="preserve">Ready4Industry: https://ready4industry.in</w:t>
      </w:r>
    </w:p>
    <w:p>
      <w:pPr>
        <w:spacing w:after="20"/>
        <w:jc w:val="left"/>
      </w:pPr>
      <w:r>
        <w:rPr>
          <w:sz w:val="22"/>
          <w:szCs w:val="22"/>
          <w:rFonts w:ascii="Calibri" w:cs="Calibri" w:eastAsia="Calibri" w:hAnsi="Calibri"/>
        </w:rPr>
        <w:t xml:space="preserve">Ready4Exam GitHub: https://ready4exam.github.io/ready4exam-class-11/</w:t>
      </w:r>
    </w:p>
    <w:p>
      <w:pPr>
        <w:spacing w:after="80"/>
      </w:pPr>
    </w:p>
    <w:p>
      <w:pPr>
        <w:spacing w:before="200" w:after="120"/>
      </w:pPr>
      <w:r>
        <w:rPr>
          <w:b/>
          <w:bCs/>
          <w:sz w:val="26"/>
          <w:szCs w:val="26"/>
          <w:caps/>
          <w:rFonts w:ascii="Calibri" w:cs="Calibri" w:eastAsia="Calibri" w:hAnsi="Calibri"/>
        </w:rPr>
        <w:t xml:space="preserve">PROFESSIONAL SUMMARY</w:t>
      </w:r>
    </w:p>
    <w:p>
      <w:pPr>
        <w:spacing w:after="120"/>
      </w:pPr>
      <w:r>
        <w:rPr>
          <w:sz w:val="22"/>
          <w:szCs w:val="22"/>
          <w:rFonts w:ascii="Calibri" w:cs="Calibri" w:eastAsia="Calibri" w:hAnsi="Calibri"/>
        </w:rPr>
        <w:t xml:space="preserve">Strategic technology leader with 21+ years of experience architecting and delivering AI-driven business transformation. Proven expert in leading the end-to-end product lifecycle for innovative technology solutions, from roadmap development to impact measurement. Spearheaded the design of an Agentic AI system for autonomous service reliability and pioneered FinOps frameworks that yielded over $8M in savings. Adept at translating complex business priorities into actionable AI product strategies that drive growth and operational excellence.</w:t>
      </w:r>
    </w:p>
    <w:p>
      <w:pPr>
        <w:spacing w:before="200" w:after="120"/>
      </w:pPr>
      <w:r>
        <w:rPr>
          <w:b/>
          <w:bCs/>
          <w:sz w:val="26"/>
          <w:szCs w:val="26"/>
          <w:caps/>
          <w:rFonts w:ascii="Calibri" w:cs="Calibri" w:eastAsia="Calibri" w:hAnsi="Calibri"/>
        </w:rPr>
        <w:t xml:space="preserve">CORE SKILLS</w:t>
      </w:r>
    </w:p>
    <w:p>
      <w:pPr>
        <w:pStyle w:val="ListParagraph"/>
        <w:numPr>
          <w:ilvl w:val="0"/>
          <w:numId w:val="1"/>
        </w:numPr>
        <w:spacing w:after="60"/>
      </w:pPr>
      <w:r>
        <w:t xml:space="preserve">Agentic AI &amp; Multi-Agent System Design</w:t>
      </w:r>
    </w:p>
    <w:p>
      <w:pPr>
        <w:pStyle w:val="ListParagraph"/>
        <w:numPr>
          <w:ilvl w:val="0"/>
          <w:numId w:val="1"/>
        </w:numPr>
        <w:spacing w:after="60"/>
      </w:pPr>
      <w:r>
        <w:t xml:space="preserve">AI Product Strategy &amp; Lifecycle Management</w:t>
      </w:r>
    </w:p>
    <w:p>
      <w:pPr>
        <w:pStyle w:val="ListParagraph"/>
        <w:numPr>
          <w:ilvl w:val="0"/>
          <w:numId w:val="1"/>
        </w:numPr>
        <w:spacing w:after="60"/>
      </w:pPr>
      <w:r>
        <w:t xml:space="preserve">Retrieval-Augmented Generation (RAG)</w:t>
      </w:r>
    </w:p>
    <w:p>
      <w:pPr>
        <w:pStyle w:val="ListParagraph"/>
        <w:numPr>
          <w:ilvl w:val="0"/>
          <w:numId w:val="1"/>
        </w:numPr>
        <w:spacing w:after="60"/>
      </w:pPr>
      <w:r>
        <w:t xml:space="preserve">FinOps &amp; Strategic Cost Optimization</w:t>
      </w:r>
    </w:p>
    <w:p>
      <w:pPr>
        <w:pStyle w:val="ListParagraph"/>
        <w:numPr>
          <w:ilvl w:val="0"/>
          <w:numId w:val="1"/>
        </w:numPr>
        <w:spacing w:after="60"/>
      </w:pPr>
      <w:r>
        <w:t xml:space="preserve">Cloud Architecture &amp; Modernization (AWS, Azure)</w:t>
      </w:r>
    </w:p>
    <w:p>
      <w:pPr>
        <w:pStyle w:val="ListParagraph"/>
        <w:numPr>
          <w:ilvl w:val="0"/>
          <w:numId w:val="1"/>
        </w:numPr>
        <w:spacing w:after="60"/>
      </w:pPr>
      <w:r>
        <w:t xml:space="preserve">Business Transformation &amp; Technology Roadmapping</w:t>
      </w:r>
    </w:p>
    <w:p>
      <w:pPr>
        <w:pStyle w:val="ListParagraph"/>
        <w:numPr>
          <w:ilvl w:val="0"/>
          <w:numId w:val="1"/>
        </w:numPr>
        <w:spacing w:after="60"/>
      </w:pPr>
      <w:r>
        <w:t xml:space="preserve">Impact Measurement &amp; KPI Governance</w:t>
      </w:r>
    </w:p>
    <w:p>
      <w:pPr>
        <w:pStyle w:val="ListParagraph"/>
        <w:numPr>
          <w:ilvl w:val="0"/>
          <w:numId w:val="1"/>
        </w:numPr>
        <w:spacing w:after="60"/>
      </w:pPr>
      <w:r>
        <w:t xml:space="preserve">Data Strategy &amp; Context Engineering</w:t>
      </w:r>
    </w:p>
    <w:p>
      <w:pPr>
        <w:pStyle w:val="ListParagraph"/>
        <w:numPr>
          <w:ilvl w:val="0"/>
          <w:numId w:val="1"/>
        </w:numPr>
        <w:spacing w:after="60"/>
      </w:pPr>
      <w:r>
        <w:t xml:space="preserve">Service Reliability Engineering (SRE) &amp; AIOps</w:t>
      </w:r>
    </w:p>
    <w:p>
      <w:pPr>
        <w:pStyle w:val="ListParagraph"/>
        <w:numPr>
          <w:ilvl w:val="0"/>
          <w:numId w:val="1"/>
        </w:numPr>
        <w:spacing w:after="60"/>
      </w:pPr>
      <w:r>
        <w:t xml:space="preserve">DevOps &amp; Automation</w:t>
      </w:r>
    </w:p>
    <w:p>
      <w:pPr>
        <w:pStyle w:val="ListParagraph"/>
        <w:numPr>
          <w:ilvl w:val="0"/>
          <w:numId w:val="1"/>
        </w:numPr>
        <w:spacing w:after="60"/>
      </w:pPr>
      <w:r>
        <w:t xml:space="preserve">Change Management &amp; AI Adoption</w:t>
      </w:r>
    </w:p>
    <w:p>
      <w:pPr>
        <w:pStyle w:val="ListParagraph"/>
        <w:numPr>
          <w:ilvl w:val="0"/>
          <w:numId w:val="1"/>
        </w:numPr>
        <w:spacing w:after="60"/>
      </w:pPr>
      <w:r>
        <w:t xml:space="preserve">Cross-Functional Collaboration</w:t>
      </w:r>
    </w:p>
    <w:p>
      <w:pPr>
        <w:spacing w:before="200" w:after="120"/>
      </w:pPr>
      <w:r>
        <w:rPr>
          <w:b/>
          <w:bCs/>
          <w:sz w:val="26"/>
          <w:szCs w:val="26"/>
          <w:caps/>
          <w:rFonts w:ascii="Calibri" w:cs="Calibri" w:eastAsia="Calibri" w:hAnsi="Calibri"/>
        </w:rPr>
        <w:t xml:space="preserve">EXPERIENCE</w:t>
      </w:r>
    </w:p>
    <w:p>
      <w:pPr>
        <w:spacing w:before="160" w:after="8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Orchestrated strategic advisory for healthcare and BFSI clients, architecting technology product roadmaps for platform modernization aligned with business goals.</w:t>
      </w:r>
    </w:p>
    <w:p>
      <w:pPr>
        <w:pStyle w:val="ListParagraph"/>
        <w:numPr>
          <w:ilvl w:val="0"/>
          <w:numId w:val="1"/>
        </w:numPr>
        <w:spacing w:after="60"/>
      </w:pPr>
      <w:r>
        <w:t xml:space="preserve">Spearheaded the end-to-end product lifecycle of an AI-driven automation framework, from requirements gathering and roadmapping to measuring adoption, reducing repeat failures by 60%.</w:t>
      </w:r>
    </w:p>
    <w:p>
      <w:pPr>
        <w:pStyle w:val="ListParagraph"/>
        <w:numPr>
          <w:ilvl w:val="0"/>
          <w:numId w:val="1"/>
        </w:numPr>
        <w:spacing w:after="60"/>
      </w:pPr>
      <w:r>
        <w:t xml:space="preserve">Pioneered FinOps initiatives, delivering hybrid-cloud cost optimization dashboards that identified 15-20% in potential savings and enabled data-driven financial decisions.</w:t>
      </w:r>
    </w:p>
    <w:p>
      <w:pPr>
        <w:spacing w:before="160" w:after="8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Architected and directed a global service reliability engineering function, overseeing 100,000+ IT assets and driving a culture of automation and continuous improvement.</w:t>
      </w:r>
    </w:p>
    <w:p>
      <w:pPr>
        <w:pStyle w:val="ListParagraph"/>
        <w:numPr>
          <w:ilvl w:val="0"/>
          <w:numId w:val="1"/>
        </w:numPr>
        <w:spacing w:after="60"/>
      </w:pPr>
      <w:r>
        <w:t xml:space="preserve">Designed and implemented an Agentic AI system for autonomous AIOps response, reducing mean-time-to-resolution (MTTR) by 40% and enhancing operational decision-making.</w:t>
      </w:r>
    </w:p>
    <w:p>
      <w:pPr>
        <w:pStyle w:val="ListParagraph"/>
        <w:numPr>
          <w:ilvl w:val="0"/>
          <w:numId w:val="1"/>
        </w:numPr>
        <w:spacing w:after="60"/>
      </w:pPr>
      <w:r>
        <w:t xml:space="preserve">Directed a $30M+ vendor displacement program, successfully insourcing critical infrastructure services to enhance agility, strategic control, and operational efficiency.</w:t>
      </w:r>
    </w:p>
    <w:p>
      <w:pPr>
        <w:pStyle w:val="ListParagraph"/>
        <w:numPr>
          <w:ilvl w:val="0"/>
          <w:numId w:val="1"/>
        </w:numPr>
        <w:spacing w:after="60"/>
      </w:pPr>
      <w:r>
        <w:t xml:space="preserve">Championed Cloud &amp; DevOps adoption, leading AWS migration projects that improved scalability and developer velocity.</w:t>
      </w:r>
    </w:p>
    <w:p>
      <w:pPr>
        <w:spacing w:before="160" w:after="8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a $25M annual OPEX budget, spearheading a business transformation initiative that delivered $8M in savings through strategic automation and FinOps-aligned cost optimization.</w:t>
      </w:r>
    </w:p>
    <w:p>
      <w:pPr>
        <w:pStyle w:val="ListParagraph"/>
        <w:numPr>
          <w:ilvl w:val="0"/>
          <w:numId w:val="1"/>
        </w:numPr>
        <w:spacing w:after="60"/>
      </w:pPr>
      <w:r>
        <w:t xml:space="preserve">Championed the modernization of contact center operations by integrating AI-driven insights, reducing average handling time by 30% and improving customer satisfaction KPIs.</w:t>
      </w:r>
    </w:p>
    <w:p>
      <w:pPr>
        <w:pStyle w:val="ListParagraph"/>
        <w:numPr>
          <w:ilvl w:val="0"/>
          <w:numId w:val="1"/>
        </w:numPr>
        <w:spacing w:after="60"/>
      </w:pPr>
      <w:r>
        <w:t xml:space="preserve">Scaled the global Capacity Management Center of Excellence from 10 to 250 members across 5 countries, establishing a world-class service delivery function.</w:t>
      </w:r>
    </w:p>
    <w:p>
      <w:pPr>
        <w:pStyle w:val="ListParagraph"/>
        <w:numPr>
          <w:ilvl w:val="0"/>
          <w:numId w:val="1"/>
        </w:numPr>
        <w:spacing w:after="60"/>
      </w:pPr>
      <w:r>
        <w:t xml:space="preserve">Standardized ITIL-based frameworks for end-to-end capacity and service management, ensuring consistent delivery for major BFSI clients like Scotiabank.</w:t>
      </w:r>
    </w:p>
    <w:p>
      <w:pPr>
        <w:spacing w:before="160" w:after="8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ITSM consulting and automation strategies for major telecom and BFSI customers, enhancing operational efficiency and compliance.</w:t>
      </w:r>
    </w:p>
    <w:p>
      <w:pPr>
        <w:pStyle w:val="ListParagraph"/>
        <w:numPr>
          <w:ilvl w:val="0"/>
          <w:numId w:val="1"/>
        </w:numPr>
        <w:spacing w:after="60"/>
      </w:pPr>
      <w:r>
        <w:t xml:space="preserve">Drove problem management through rigorous RCA processes and chaired the Change Advisory Board (CAB) to govern risk-controlled changes.</w:t>
      </w:r>
    </w:p>
    <w:p>
      <w:pPr>
        <w:pStyle w:val="ListParagraph"/>
        <w:numPr>
          <w:ilvl w:val="0"/>
          <w:numId w:val="1"/>
        </w:numPr>
        <w:spacing w:after="60"/>
      </w:pPr>
      <w:r>
        <w:t xml:space="preserve">Implemented performance dashboards and standardized SOPs, resulting in measurable improvements in service delivery speed and quality.</w:t>
      </w:r>
    </w:p>
    <w:p>
      <w:pPr>
        <w:spacing w:before="160" w:after="8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Led infrastructure monitoring solutions for enterprise clients, deploying and managing tools such as Nagios, Zabbix, and HP OpenView.</w:t>
      </w:r>
    </w:p>
    <w:p>
      <w:pPr>
        <w:pStyle w:val="ListParagraph"/>
        <w:numPr>
          <w:ilvl w:val="0"/>
          <w:numId w:val="1"/>
        </w:numPr>
        <w:spacing w:after="60"/>
      </w:pPr>
      <w:r>
        <w:t xml:space="preserve">Managed major release deployments for British Telecom, ensuring minimal business disruption and successful technology rollout.</w:t>
      </w:r>
    </w:p>
    <w:p>
      <w:pPr>
        <w:pStyle w:val="ListParagraph"/>
        <w:numPr>
          <w:ilvl w:val="0"/>
          <w:numId w:val="1"/>
        </w:numPr>
        <w:spacing w:after="60"/>
      </w:pPr>
      <w:r>
        <w:t xml:space="preserve">Provided critical application support for NHS UK, ensuring high availability for essential healthcare platforms.</w:t>
      </w:r>
    </w:p>
    <w:p>
      <w:pPr>
        <w:spacing w:before="160" w:after="8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Acted as a key technical escalation point for mission-critical telecom systems, reducing downtime through rapid and effective troubleshooting.</w:t>
      </w:r>
    </w:p>
    <w:p>
      <w:pPr>
        <w:pStyle w:val="ListParagraph"/>
        <w:numPr>
          <w:ilvl w:val="0"/>
          <w:numId w:val="1"/>
        </w:numPr>
        <w:spacing w:after="60"/>
      </w:pPr>
      <w:r>
        <w:t xml:space="preserve">Authored comprehensive SOP documentation and trained L1/L2 engineers, improving team capabilities and incident response times.</w:t>
      </w:r>
    </w:p>
    <w:p>
      <w:pPr>
        <w:spacing w:before="200" w:after="120"/>
      </w:pPr>
      <w:r>
        <w:rPr>
          <w:b/>
          <w:bCs/>
          <w:sz w:val="26"/>
          <w:szCs w:val="26"/>
          <w:caps/>
          <w:rFonts w:ascii="Calibri" w:cs="Calibri" w:eastAsia="Calibri" w:hAnsi="Calibri"/>
        </w:rPr>
        <w:t xml:space="preserve">PROJECTS</w:t>
      </w:r>
    </w:p>
    <w:p>
      <w:pPr>
        <w:spacing w:after="120"/>
      </w:pPr>
      <w:r>
        <w:rPr>
          <w:sz w:val="22"/>
          <w:szCs w:val="22"/>
          <w:rFonts w:ascii="Calibri" w:cs="Calibri" w:eastAsia="Calibri" w:hAnsi="Calibri"/>
        </w:rPr>
        <w:t xml:space="preserve">Agentic AI for FinOps &amp; Service Reliability</w:t>
      </w:r>
    </w:p>
    <w:p>
      <w:pPr>
        <w:pStyle w:val="ListParagraph"/>
        <w:numPr>
          <w:ilvl w:val="0"/>
          <w:numId w:val="1"/>
        </w:numPr>
        <w:spacing w:after="60"/>
      </w:pPr>
      <w:r>
        <w:t xml:space="preserve">Architected a multi-agent system (CrewAI, RAG) to autonomously analyze FinOps and SRE data, defining protocols for agent communication, escalation, and error handling.</w:t>
      </w:r>
    </w:p>
    <w:p>
      <w:pPr>
        <w:pStyle w:val="ListParagraph"/>
        <w:numPr>
          <w:ilvl w:val="0"/>
          <w:numId w:val="1"/>
        </w:numPr>
        <w:spacing w:after="60"/>
      </w:pPr>
      <w:r>
        <w:t xml:space="preserve">Prototype successfully identified 15% in potential cloud cost savings in a sandbox environment and demonstrated 90% accuracy in predicting P2 service degradations.</w:t>
      </w:r>
    </w:p>
    <w:p>
      <w:pPr>
        <w:spacing w:after="120"/>
      </w:pPr>
      <w:r>
        <w:rPr>
          <w:sz w:val="22"/>
          <w:szCs w:val="22"/>
          <w:rFonts w:ascii="Calibri" w:cs="Calibri" w:eastAsia="Calibri" w:hAnsi="Calibri"/>
        </w:rPr>
        <w:t xml:space="preserve">Ready4Industry - AI-Powered Skilling Platform</w:t>
      </w:r>
    </w:p>
    <w:p>
      <w:pPr>
        <w:pStyle w:val="ListParagraph"/>
        <w:numPr>
          <w:ilvl w:val="0"/>
          <w:numId w:val="1"/>
        </w:numPr>
        <w:spacing w:after="60"/>
      </w:pPr>
      <w:r>
        <w:t xml:space="preserve">Led the end-to-end product development of an AI-driven educational platform, from concept and architecture to deployment and user feedback iteration.</w:t>
      </w:r>
    </w:p>
    <w:p>
      <w:pPr>
        <w:pStyle w:val="ListParagraph"/>
        <w:numPr>
          <w:ilvl w:val="0"/>
          <w:numId w:val="1"/>
        </w:numPr>
        <w:spacing w:after="60"/>
      </w:pPr>
      <w:r>
        <w:t xml:space="preserve">Engineered backend services, API integrations, and CI/CD pipelines using Python, JavaScript, and GitHub Actions, demonstrating rapid prototyping and delivery capabilities.</w:t>
      </w:r>
    </w:p>
    <w:p>
      <w:pPr>
        <w:spacing w:after="120"/>
      </w:pPr>
      <w:r>
        <w:rPr>
          <w:sz w:val="22"/>
          <w:szCs w:val="22"/>
          <w:rFonts w:ascii="Calibri" w:cs="Calibri" w:eastAsia="Calibri" w:hAnsi="Calibri"/>
        </w:rPr>
        <w:t xml:space="preserve">Ready4Exam - Automated Educational Content Delivery</w:t>
      </w:r>
    </w:p>
    <w:p>
      <w:pPr>
        <w:pStyle w:val="ListParagraph"/>
        <w:numPr>
          <w:ilvl w:val="0"/>
          <w:numId w:val="1"/>
        </w:numPr>
        <w:spacing w:after="60"/>
      </w:pPr>
      <w:r>
        <w:t xml:space="preserve">Developed and maintain an open-source static site for educational content, leveraging automated CI/CD workflows for zero-touch deployments.</w:t>
      </w:r>
    </w:p>
    <w:p>
      <w:pPr>
        <w:pStyle w:val="ListParagraph"/>
        <w:numPr>
          <w:ilvl w:val="0"/>
          <w:numId w:val="1"/>
        </w:numPr>
        <w:spacing w:after="60"/>
      </w:pPr>
      <w:r>
        <w:t xml:space="preserve">Managed the platform's infrastructure and data strategy, ensuring high availability and efficient content delivery to users.</w:t>
      </w:r>
    </w:p>
    <w:p>
      <w:pPr>
        <w:spacing w:before="200" w:after="120"/>
      </w:pPr>
      <w:r>
        <w:rPr>
          <w:b/>
          <w:bCs/>
          <w:sz w:val="26"/>
          <w:szCs w:val="26"/>
          <w:caps/>
          <w:rFonts w:ascii="Calibri" w:cs="Calibri" w:eastAsia="Calibri" w:hAnsi="Calibri"/>
        </w:rPr>
        <w:t xml:space="preserve">TECHNICAL SKILLS</w:t>
      </w:r>
    </w:p>
    <w:p>
      <w:pPr>
        <w:spacing w:after="120"/>
      </w:pPr>
      <w:r>
        <w:rPr>
          <w:sz w:val="22"/>
          <w:szCs w:val="22"/>
          <w:rFonts w:ascii="Calibri" w:cs="Calibri" w:eastAsia="Calibri" w:hAnsi="Calibri"/>
        </w:rPr>
        <w:t xml:space="preserve">AI Frameworks: CrewAI, LangChain, OpenAI Frameworks</w:t>
      </w:r>
    </w:p>
    <w:p>
      <w:pPr>
        <w:spacing w:after="120"/>
      </w:pPr>
      <w:r>
        <w:rPr>
          <w:sz w:val="22"/>
          <w:szCs w:val="22"/>
          <w:rFonts w:ascii="Calibri" w:cs="Calibri" w:eastAsia="Calibri" w:hAnsi="Calibri"/>
        </w:rPr>
        <w:t xml:space="preserve">Cloud &amp; DevOps: AWS, Azure, GCP, Ansible, GitHub Actions, CI/CD, Terraform</w:t>
      </w:r>
    </w:p>
    <w:p>
      <w:pPr>
        <w:spacing w:after="120"/>
      </w:pPr>
      <w:r>
        <w:rPr>
          <w:sz w:val="22"/>
          <w:szCs w:val="22"/>
          <w:rFonts w:ascii="Calibri" w:cs="Calibri" w:eastAsia="Calibri" w:hAnsi="Calibri"/>
        </w:rPr>
        <w:t xml:space="preserve">Languages: Python, JavaScript, Shell Scripting</w:t>
      </w:r>
    </w:p>
    <w:p>
      <w:pPr>
        <w:spacing w:after="120"/>
      </w:pPr>
      <w:r>
        <w:rPr>
          <w:sz w:val="22"/>
          <w:szCs w:val="22"/>
          <w:rFonts w:ascii="Calibri" w:cs="Calibri" w:eastAsia="Calibri" w:hAnsi="Calibri"/>
        </w:rPr>
        <w:t xml:space="preserve">ITSM &amp; Observability: ServiceNow, Jira, Datadog, New Relic, Prometheus, Grafana, ScienceLogic</w:t>
      </w:r>
    </w:p>
    <w:p>
      <w:pPr>
        <w:spacing w:after="120"/>
      </w:pPr>
      <w:r>
        <w:rPr>
          <w:sz w:val="22"/>
          <w:szCs w:val="22"/>
          <w:rFonts w:ascii="Calibri" w:cs="Calibri" w:eastAsia="Calibri" w:hAnsi="Calibri"/>
        </w:rPr>
        <w:t xml:space="preserve">FinOps Tools: CoreStack, Flexera, Azure Monitor, CloudWatch</w:t>
      </w:r>
    </w:p>
    <w:p>
      <w:pPr>
        <w:spacing w:after="120"/>
      </w:pPr>
      <w:r>
        <w:rPr>
          <w:sz w:val="22"/>
          <w:szCs w:val="22"/>
          <w:rFonts w:ascii="Calibri" w:cs="Calibri" w:eastAsia="Calibri" w:hAnsi="Calibri"/>
        </w:rPr>
        <w:t xml:space="preserve">Infrastructure: VMware Tanzu, Zabbix, HP OpenView, SolarWinds</w:t>
      </w:r>
    </w:p>
    <w:p>
      <w:pPr>
        <w:spacing w:after="120"/>
      </w:pPr>
      <w:r>
        <w:rPr>
          <w:sz w:val="22"/>
          <w:szCs w:val="22"/>
          <w:rFonts w:ascii="Calibri" w:cs="Calibri" w:eastAsia="Calibri" w:hAnsi="Calibri"/>
        </w:rPr>
        <w:t xml:space="preserve">BI &amp; Modeling: Power BI, MS Visio</w:t>
      </w:r>
    </w:p>
    <w:p>
      <w:pPr>
        <w:spacing w:before="200" w:after="12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 Microsoft Azure Solutions Architect Expert</w:t>
      </w:r>
    </w:p>
    <w:p>
      <w:pPr>
        <w:pStyle w:val="ListParagraph"/>
        <w:numPr>
          <w:ilvl w:val="0"/>
          <w:numId w:val="1"/>
        </w:numPr>
        <w:spacing w:after="60"/>
      </w:pPr>
      <w:r>
        <w:t xml:space="preserve">- AWS Certified Cloud Practitioner</w:t>
      </w:r>
    </w:p>
    <w:p>
      <w:pPr>
        <w:pStyle w:val="ListParagraph"/>
        <w:numPr>
          <w:ilvl w:val="0"/>
          <w:numId w:val="1"/>
        </w:numPr>
        <w:spacing w:after="60"/>
      </w:pPr>
      <w:r>
        <w:t xml:space="preserve">- FinOps Certified Practitioner</w:t>
      </w:r>
    </w:p>
    <w:p>
      <w:pPr>
        <w:pStyle w:val="ListParagraph"/>
        <w:numPr>
          <w:ilvl w:val="0"/>
          <w:numId w:val="1"/>
        </w:numPr>
        <w:spacing w:after="60"/>
      </w:pPr>
      <w:r>
        <w:t xml:space="preserve">- Google Digital Leader</w:t>
      </w:r>
    </w:p>
    <w:p>
      <w:pPr>
        <w:pStyle w:val="ListParagraph"/>
        <w:numPr>
          <w:ilvl w:val="0"/>
          <w:numId w:val="1"/>
        </w:numPr>
        <w:spacing w:after="60"/>
      </w:pPr>
      <w:r>
        <w:t xml:space="preserve">- IBM Architect &amp; Consulting Badges</w:t>
      </w:r>
    </w:p>
    <w:p>
      <w:pPr>
        <w:pStyle w:val="ListParagraph"/>
        <w:numPr>
          <w:ilvl w:val="0"/>
          <w:numId w:val="1"/>
        </w:numPr>
        <w:spacing w:after="60"/>
      </w:pPr>
      <w:r>
        <w:t xml:space="preserve">- ITIL v3</w:t>
      </w:r>
    </w:p>
    <w:p>
      <w:pPr>
        <w:pStyle w:val="ListParagraph"/>
        <w:numPr>
          <w:ilvl w:val="0"/>
          <w:numId w:val="1"/>
        </w:numPr>
        <w:spacing w:after="60"/>
      </w:pPr>
      <w:r>
        <w:t xml:space="preserve">- COBIT 4.1</w:t>
      </w:r>
    </w:p>
    <w:p>
      <w:pPr>
        <w:spacing w:before="200" w:after="120"/>
      </w:pPr>
      <w:r>
        <w:rPr>
          <w:b/>
          <w:bCs/>
          <w:sz w:val="26"/>
          <w:szCs w:val="26"/>
          <w:caps/>
          <w:rFonts w:ascii="Calibri" w:cs="Calibri" w:eastAsia="Calibri" w:hAnsi="Calibri"/>
        </w:rPr>
        <w:t xml:space="preserve">EDUCATION</w:t>
      </w:r>
    </w:p>
    <w:p>
      <w:pPr>
        <w:spacing w:after="120"/>
      </w:pPr>
      <w:r>
        <w:rPr>
          <w:sz w:val="22"/>
          <w:szCs w:val="22"/>
          <w:rFonts w:ascii="Calibri" w:cs="Calibri" w:eastAsia="Calibri" w:hAnsi="Calibri"/>
        </w:rPr>
        <w:t xml:space="preserve">- Post Graduate Programme in Project Management – IIT Roorkee, 2025</w:t>
      </w:r>
    </w:p>
    <w:p>
      <w:pPr>
        <w:spacing w:after="120"/>
      </w:pPr>
      <w:r>
        <w:rPr>
          <w:sz w:val="22"/>
          <w:szCs w:val="22"/>
          <w:rFonts w:ascii="Calibri" w:cs="Calibri" w:eastAsia="Calibri" w:hAnsi="Calibri"/>
        </w:rPr>
        <w:t xml:space="preserve">- Master’s in Information Technology – Manipal Academy of Higher Education, 2002</w:t>
      </w:r>
    </w:p>
    <w:p>
      <w:pPr>
        <w:spacing w:after="120"/>
      </w:pPr>
      <w:r>
        <w:rPr>
          <w:sz w:val="22"/>
          <w:szCs w:val="22"/>
          <w:rFonts w:ascii="Calibri" w:cs="Calibri" w:eastAsia="Calibri" w:hAnsi="Calibri"/>
        </w:rPr>
        <w:t xml:space="preserve">- 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2025-12-04T09:35:53.666Z</dcterms:created>
  <dcterms:modified xsi:type="dcterms:W3CDTF">2025-12-04T09:35:53.667Z</dcterms:modified>
</cp:coreProperties>
</file>

<file path=docProps/custom.xml><?xml version="1.0" encoding="utf-8"?>
<Properties xmlns="http://schemas.openxmlformats.org/officeDocument/2006/custom-properties" xmlns:vt="http://schemas.openxmlformats.org/officeDocument/2006/docPropsVTypes"/>
</file>