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Seasoned technology executive with 21+ years of global leadership, including 7 years in AI/ML and 5 years spearheading enterprise Generative AI initiatives. Drives strategic vision, architects advanced GenAI platforms, and leads end-to-end development from research to secure, scalable deployment, balancing innovation with stringent enterprise governance. Proven leader of globally distributed engineering teams, consistently delivering measurable business value through AI-driven transformation. Poised to shape the future of AI-driven workflow automation and deliver transformative solutions for global enterprise clients at Pegasystems.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Generative AI Strategy &amp; Vision, Enterprise AI Product Development, LLM Orchestration, RAG &amp; Agentic Systems, AI Governance &amp; Responsible AI, MLOps &amp; AI Observability, Cloud-Native Architecture, Global Engineering Leadership, Cross-functional Alignment, Talent Development, Thought Leadership, FinOps, Digital Transformation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Advised enterprise healthcare and BFSI clients on IT strategy and FinOps, ensuring alignment with NIST and ITIL standards for critical infrastructure.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and operationalized an AI-driven automation framework, reducing repeat service failures by 60% and enhancing system reliability at enterprise scale.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FinOps initiatives, developing hybrid-cloud cost optimization strategies and accelerators for complex client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Cultivated relationships with global leadership across US, LatAm, Europe, and APAC to deliver advanced platform modernization roadmaps.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Spearheaded Global Service Reliability Engineering &amp; Platform Operations for mission-critical data center portfolios, driving strategic initiatives to enhance reliability, capacity, and resilience for 100,000+ physical IT assets.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Championed Cloud &amp; DevOps transformation, including strategic AWS migrations and the development of an enterprise Agentic AI system for autonomous AIOps response, integrating MLOps best practices.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a $30M+ vendor displacement program, insourcing critical infrastructure services to significantly improve operational agility and reduce global dependency.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global delivery leadership for complex, multi-country service engagements, ensuring consistency and quality across international centers.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Grew the Capacity Management Center of Excellence from 10 to 250 members across 5 countries, establishing global ITIL-based frameworks for operational excellence.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contact center operations by integrating AI-driven insights to accelerate response times and enhance service delivery.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$25M annual OPEX, achieving $8M in savings through strategic automation, vendor renegotiation, and license optimization.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ITSM consulting and automation strategies for major telecom and BFSI customers, enhancing service quality and operational efficiency.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Introduced standardized operating procedures and performance dashboards that significantly improved delivery speed and quality across client engagements.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Problem and Change Management, driving root cause analysis, implementing risk-controlled changes, and ensuring robust governance frameworks.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the deployment and management of enterprise monitoring tools, ensuring comprehensive visibility and proactive issue identification for large-scale IT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major release deployments for British Telecom with minimal disruption, demonstrating strong command of change management processes.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Oversaw application support for NHS UK, ensuring timely resolution of critical issues across healthcare platforms.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Academic Strategy &amp; Institutional Intelligence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Education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vision, scalability, monetization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dashboards and decision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leadership and measurable ROI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Generative AI Architectures (LLM Orchestration, RAG, Agentic Systems), MLOps &amp; AI Observability (Model Evaluation, Prompt Management, Performance Monitoring), Cloud-Native Architectures (Microservices, Kubernetes, APIs, AWS, Azure), Software Engineering (Python, JavaScript, Shell, API Automation, CI/CD with GitHub Actions), Enterprise Integration &amp; Automation, Data Pipeline Engineering, Security &amp; Compliance (Data Privacy, Model Governance, Responsible AI Frameworks), FinOps Tools (Azure Monitor, CloudWatch, Grafana, CoreStack)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2025-12-13T05:44:11.018Z</dcterms:created>
  <dcterms:modified xsi:type="dcterms:W3CDTF">2025-12-13T05:44:11.018Z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