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4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EXECUTIVE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Highly accomplished executive with 21+ years of global leadership in technology strategy, enterprise platform engineering, and AI/ML innovation. Proven success defining and executing robust AI/ML architecture roadmaps, building scalable platforms, and driving transformative initiatives across large, complex organizations. Adept at leading high-performing teams to optimize resource utilization, integrate emerging technologies, and enhance content creation, distribution, and user engagement through AI-driven solutions. Passionate about leveraging advanced AI/ML to drive innovation and business value, I am poised to lead cutting-edge technology and architecture initiatives as TARGET_ROLE at TARGET_COMPANY.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STRENGTHS</w:t>
      </w:r>
    </w:p>
    <w:p>
      <w:r>
        <w:rPr>
          <w:sz w:val="22"/>
          <w:szCs w:val="22"/>
          <w:rFonts w:ascii="Calibri" w:cs="Calibri" w:eastAsia="Calibri" w:hAnsi="Calibri"/>
        </w:rPr>
        <w:t xml:space="preserve">AI/ML Architecture &amp; Strategy | MLOps &amp; Platform Engineering | Cloud &amp; Infrastructure Transformation | FinOps &amp; Resource Optimization | Enterprise Technology Leadership | Data Governance &amp; Compliance | Service Reliability Engineering | Automation &amp; Workflow Orchestration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strategic advisory engagements for global enterprise clients, integrating AI/ML best practices to define system modernization roadmaps.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Engineered an AI-driven automation framework that reduced repeat failures by 60%, significantly enhancing service reliability.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FinOps initiatives, developing hybrid-cloud cost dashboards to drive proactive budget optimization and resource utilization.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Partnered with global leadership to align technology strategy with critical business objectives, enabling large-scale platform transformation.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Oversaw global technology service delivery for large-scale, mission-critical infrastructure, ensuring robust capacity and resilience for enterprise platforms.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Spearheaded Cloud &amp; DevOps enablement initiatives, including comprehensive AWS migrations and development of an Agentic AI system for autonomous AIOps insights.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a $30M+ vendor displacement program, successfully insourcing critical infrastructure services to improve agility and reduce external dependency.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operations for 100,000+ physical IT assets across global datacenters, ensuring high availability and performance for core business functions.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Modernized contact center operations by integrating AI-driven insights, accelerating response times and enhancing user engagement globally.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a $25M annual OPEX budget, generating $8M in savings through strategic automation, vendor renegotiation, and license optimization.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global delivery leadership for complex service engagements, standardizing enterprise practices and ensuring consistent service quality across regions.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scaled the Capacity Management Center of Excellence from 10 to 250 members across 5 countries, fostering expertise and elevating enterprise-wide standards.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ITSM consulting and automation strategies for major telecom and BFSI customers, significantly improving operational efficiency and service delivery.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strategic Problem and Change Management initiatives, driving root cause analysis and implementing risk-controlled changes to enhance system stability and compliance.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and implemented tailored ITIL frameworks, enhancing governance and optimizing service delivery across client enterprises.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comprehensive enterprise monitoring solutions, ensuring deep visibility into infrastructure performance and proactive issue identification.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major release deployments, ensuring minimal disruption and continuous availability of critical services.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high-impact escalations and provided critical support for mission-critical telecom systems, significantly reducing downtime through rapid issue resolution.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PORTFOLIO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AI-Enabled Academic Strategy &amp; Institutional Intelligence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 &amp; Executive Architect — AI-Driven Education Platforms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 vision, scalability, monetization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AI-powered dashboards and decision intelligence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leadership and measurable ROI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LEADERSHIP SKILLS</w:t>
      </w:r>
    </w:p>
    <w:p>
      <w:r>
        <w:rPr>
          <w:sz w:val="22"/>
          <w:szCs w:val="22"/>
          <w:rFonts w:ascii="Calibri" w:cs="Calibri" w:eastAsia="Calibri" w:hAnsi="Calibri"/>
        </w:rPr>
        <w:t xml:space="preserve">Cloud Platforms &amp; FinOps: Azure, AWS, GCP, CoreStack, Flexera, Azure Monitor, CloudWatch</w:t>
      </w:r>
    </w:p>
    <w:p>
      <w:r>
        <w:rPr>
          <w:sz w:val="22"/>
          <w:szCs w:val="22"/>
          <w:rFonts w:ascii="Calibri" w:cs="Calibri" w:eastAsia="Calibri" w:hAnsi="Calibri"/>
        </w:rPr>
        <w:t xml:space="preserve">Platform Engineering &amp; Automation: Python, JavaScript, Shell scripting, Ansible, GitHub Actions, VMware Tanzu</w:t>
      </w:r>
    </w:p>
    <w:p>
      <w:r>
        <w:rPr>
          <w:sz w:val="22"/>
          <w:szCs w:val="22"/>
          <w:rFonts w:ascii="Calibri" w:cs="Calibri" w:eastAsia="Calibri" w:hAnsi="Calibri"/>
        </w:rPr>
        <w:t xml:space="preserve">AI/ML Infrastructure &amp; Observability: Datadog, New Relic, Prometheus, ScienceLogic, Grafana, Supabase logs, centralized logging pipelines</w:t>
      </w:r>
    </w:p>
    <w:p>
      <w:r>
        <w:rPr>
          <w:sz w:val="22"/>
          <w:szCs w:val="22"/>
          <w:rFonts w:ascii="Calibri" w:cs="Calibri" w:eastAsia="Calibri" w:hAnsi="Calibri"/>
        </w:rPr>
        <w:t xml:space="preserve">ITSM &amp; Operations Tools: ServiceNow, Remedy, Jira Service Management, HP OpenView, SolarWinds, Zabbix</w:t>
      </w:r>
    </w:p>
    <w:p>
      <w:r>
        <w:rPr>
          <w:sz w:val="22"/>
          <w:szCs w:val="22"/>
          <w:rFonts w:ascii="Calibri" w:cs="Calibri" w:eastAsia="Calibri" w:hAnsi="Calibri"/>
        </w:rPr>
        <w:t xml:space="preserve">Data Visualization &amp; Modeling: Power BI, MS Visio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Architect &amp; Consulting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Bachelor of Science – Anugrah Narayan College, Patna University, 1999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2025-12-13T11:52:43.335Z</dcterms:created>
  <dcterms:modified xsi:type="dcterms:W3CDTF">2025-12-13T11:52:43.335Z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