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4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EXECUTIVE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Visionary engineering leader with 21+ years of global experience in architecting and delivering enterprise-scale technology platforms and software solutions. Proven expert in driving platform modernization, AI-driven automation, and DevOps transformation within complex BFSI environments. Adept at managing large, geographically dispersed engineering teams (20+ professionals) to enhance system performance, reliability, and accelerate product delivery. Possesses a strong track record of aligning robust engineering strategies with business objectives, fostering innovation and continuous improvement. Seeking to leverage deep expertise in platform engineering, SRE, and cloud-native solutions to drive software engineering excellence as Director of Engineering at Perfios.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STRENGTHS</w:t>
      </w:r>
    </w:p>
    <w:p>
      <w:r>
        <w:rPr>
          <w:sz w:val="22"/>
          <w:szCs w:val="22"/>
          <w:rFonts w:ascii="Calibri" w:cs="Calibri" w:eastAsia="Calibri" w:hAnsi="Calibri"/>
        </w:rPr>
        <w:t xml:space="preserve">Strategic Engineering Leadership | Platform &amp; Product Delivery | Cloud &amp; DevOps Strategy | AI &amp; Automation Engineering | Enterprise Transformation | Global Team Leadership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strategic engineering advisory for enterprise clients (BFSI, Healthcare), architecting IT service transformation programs aligned with NIST and ITIL.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Engineered an AI-driven automation framework, reducing repeat failures by 60% and improving service reliability.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FinOps initiatives, developing and deploying hybrid-cloud cost optimization dashboards and accelerators, ensuring fiscal efficiency.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Collaborated with global leadership (US, LatAm, Europe, APAC) to define and deliver strategic platform modernization roadmaps.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global Site Reliability Engineering (SRE) for mission-critical data center platforms, enhancing availability and performance of large-scale enterprise services.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Spearheaded a $30M+ vendor insourcing program, building internal engineering capabilities and improving agility for critical infrastructure.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Championed Cloud &amp; DevOps transformation, orchestrating AWS migrations and engineering an Agentic AI system for autonomous AIOps response.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Oversaw the operational excellence and performance of 100,000+ enterprise IT assets, ensuring high availability for critical systems.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Drove $8M in annual OPEX savings from a $25M budget through strategic automation engineering, vendor negotiation, and license optimization.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global engineering delivery leadership for complex enterprise engagements (e.g., Scotiabank), ensuring consistent service excellence.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and scaled a global Capacity Management Center of Excellence from 10 to 250 engineering professionals across 5 countries.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Engineered and standardized ITIL-based global frameworks for end-to-end capacity management across all services.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Modernized contact center platforms by integrating AI-driven insights, accelerating response times and improving customer experience.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Architected and delivered ITSM consulting and automation strategies for major telecom and BFSI enterprise clients.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Engineered and deployed performance dashboards and standardized operational procedures, significantly improving delivery speed and quality.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critical Problem and Change Management processes, leading Root Cause Analysis, implementing risk-controlled changes, and ensuring robust governance.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Guided enterprise clients through ITIL assessments, implementing tailored frameworks to enhance compliance and operational efficiency.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the deployment and integration of enterprise monitoring solutions (Nagios, Zabbix, HP OpenView) for critical systems.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major application release deployments for British Telecom, ensuring minimal disruption and high stability.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Oversaw application support for NHS UK, ensuring timely resolution of issues across critical healthcare platforms and services.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and resolved high-impact escalations, providing expert support for mission-critical telecom systems.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Engineered rapid response protocols and advanced troubleshooting techniques, significantly reducing system downtime.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Developed and delivered training programs for L1/L2 engineers, authoring comprehensive Standard Operating Procedures.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LEADERSHIP SKILLS</w:t>
      </w:r>
    </w:p>
    <w:p>
      <w:r>
        <w:rPr>
          <w:sz w:val="22"/>
          <w:szCs w:val="22"/>
          <w:rFonts w:ascii="Calibri" w:cs="Calibri" w:eastAsia="Calibri" w:hAnsi="Calibri"/>
        </w:rPr>
        <w:t xml:space="preserve">Platform Engineering &amp; Cloud: AWS, Azure, VMware Tanzu, Ansible, Grafana, Prometheus</w:t>
      </w:r>
    </w:p>
    <w:p>
      <w:r>
        <w:rPr>
          <w:sz w:val="22"/>
          <w:szCs w:val="22"/>
          <w:rFonts w:ascii="Calibri" w:cs="Calibri" w:eastAsia="Calibri" w:hAnsi="Calibri"/>
        </w:rPr>
        <w:t xml:space="preserve">Monitoring &amp; Observability: Datadog, New Relic, ScienceLogic, Zabbix, CloudWatch, Azure Monitor</w:t>
      </w:r>
    </w:p>
    <w:p>
      <w:r>
        <w:rPr>
          <w:sz w:val="22"/>
          <w:szCs w:val="22"/>
          <w:rFonts w:ascii="Calibri" w:cs="Calibri" w:eastAsia="Calibri" w:hAnsi="Calibri"/>
        </w:rPr>
        <w:t xml:space="preserve">DevOps &amp; ITSM Tools: ServiceNow, Jira Service Management, Remedy, CoreStack, Flexera</w:t>
      </w:r>
    </w:p>
    <w:p>
      <w:r>
        <w:rPr>
          <w:sz w:val="22"/>
          <w:szCs w:val="22"/>
          <w:rFonts w:ascii="Calibri" w:cs="Calibri" w:eastAsia="Calibri" w:hAnsi="Calibri"/>
        </w:rPr>
        <w:t xml:space="preserve">Data &amp; Reporting: Power BI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IBM Architect &amp; Consulting Badges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Bachelor of Science – Anugrah Narayan College, Patna University, 1999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2026-01-03T14:32:45.245Z</dcterms:created>
  <dcterms:modified xsi:type="dcterms:W3CDTF">2026-01-03T14:32:45.246Z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