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8"/>
          <w:szCs w:val="38"/>
          <w:rFonts w:ascii="Calibri" w:cs="Calibri" w:eastAsia="Calibri" w:hAnsi="Calibri"/>
        </w:rPr>
        <w:t xml:space="preserve">Keshav Karn</w:t>
      </w:r>
    </w:p>
    <w:p>
      <w:r>
        <w:rPr>
          <w:sz w:val="22"/>
          <w:szCs w:val="22"/>
          <w:rFonts w:ascii="Calibri" w:cs="Calibri" w:eastAsia="Calibri" w:hAnsi="Calibri"/>
        </w:rPr>
        <w:t xml:space="preserve">Hyderabad, India | 8520977573 | keshav.karn@gmail.com</w:t>
      </w:r>
    </w:p>
    <w:p>
      <w:pPr>
        <w:spacing w:after="4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EXECUTIVE SUMMARY</w:t>
      </w:r>
    </w:p>
    <w:p>
      <w:pPr>
        <w:spacing w:after="80"/>
      </w:pPr>
      <w:r>
        <w:rPr>
          <w:sz w:val="22"/>
          <w:szCs w:val="22"/>
          <w:rFonts w:ascii="Calibri" w:cs="Calibri" w:eastAsia="Calibri" w:hAnsi="Calibri"/>
        </w:rPr>
        <w:t xml:space="preserve">Visionary technology executive with 21+ years of global leadership experience, specializing in enterprise-scale AI/ML transformations and strategic innovation across regulated sectors. Proven expertise in defining and executing multi-year GenAI roadmaps, launching secure, compliant, and high-value AI-powered products. Adept at leading and scaling globally distributed engineering organizations, fostering a culture of technical excellence and responsible AI innovation. Drives significant business impact through advanced platform solutions, leveraging deep insights into LLM orchestration, RAG, and agentic architectures. An accomplished leader ready to shape the future of AI-driven workflow automation as Vice President of GenAI Engineering at Pegasystems.</w:t>
      </w:r>
    </w:p>
    <w:p>
      <w:pPr>
        <w:spacing w:before="200" w:after="100"/>
      </w:pPr>
      <w:r>
        <w:rPr>
          <w:b/>
          <w:bCs/>
          <w:sz w:val="26"/>
          <w:szCs w:val="26"/>
          <w:caps/>
          <w:rFonts w:ascii="Calibri" w:cs="Calibri" w:eastAsia="Calibri" w:hAnsi="Calibri"/>
        </w:rPr>
        <w:t xml:space="preserve">CORE STRENGTHS</w:t>
      </w:r>
    </w:p>
    <w:p>
      <w:r>
        <w:rPr>
          <w:sz w:val="22"/>
          <w:szCs w:val="22"/>
          <w:rFonts w:ascii="Calibri" w:cs="Calibri" w:eastAsia="Calibri" w:hAnsi="Calibri"/>
        </w:rPr>
        <w:t xml:space="preserve">AI/ML &amp; Generative AI Strategy | Enterprise AI Product Development | Cloud-Native Platform Engineering | MLOps &amp; AI Observability | Global Engineering Leadership | AI Governance &amp; Ethics | Go-to-Market Enablement</w:t>
      </w:r>
    </w:p>
    <w:p>
      <w:pPr>
        <w:spacing w:before="200" w:after="100"/>
      </w:pPr>
      <w:r>
        <w:rPr>
          <w:b/>
          <w:bCs/>
          <w:sz w:val="26"/>
          <w:szCs w:val="26"/>
          <w:caps/>
          <w:rFonts w:ascii="Calibri" w:cs="Calibri" w:eastAsia="Calibri" w:hAnsi="Calibri"/>
        </w:rPr>
        <w:t xml:space="preserve">EXPERIENCE</w:t>
      </w:r>
    </w:p>
    <w:p>
      <w:pPr>
        <w:spacing w:before="120"/>
      </w:pPr>
      <w:r>
        <w:rPr>
          <w:b/>
          <w:bCs/>
          <w:sz w:val="22"/>
          <w:szCs w:val="22"/>
          <w:rFonts w:ascii="Calibri" w:cs="Calibri" w:eastAsia="Calibri" w:hAnsi="Calibri"/>
        </w:rPr>
        <w:t xml:space="preserve">Company: PwC — Senior Manager (Sep 2024 – Present)</w:t>
      </w:r>
    </w:p>
    <w:p>
      <w:pPr>
        <w:pStyle w:val="ListParagraph"/>
        <w:numPr>
          <w:ilvl w:val="0"/>
          <w:numId w:val="1"/>
        </w:numPr>
        <w:spacing w:after="60"/>
      </w:pPr>
      <w:r>
        <w:t xml:space="preserve">Spearheaded GenAI adoption strategies and enterprise IT modernization roadmaps for global clients, embedding NIST and ITIL compliance in regulated environments.</w:t>
      </w:r>
    </w:p>
    <w:p>
      <w:pPr>
        <w:pStyle w:val="ListParagraph"/>
        <w:numPr>
          <w:ilvl w:val="0"/>
          <w:numId w:val="1"/>
        </w:numPr>
        <w:spacing w:after="60"/>
      </w:pPr>
      <w:r>
        <w:t xml:space="preserve">Led the development and deployment of an AI-driven automation framework, reducing operational failures by 60% and enhancing service reliability for critical enterprise systems.</w:t>
      </w:r>
    </w:p>
    <w:p>
      <w:pPr>
        <w:pStyle w:val="ListParagraph"/>
        <w:numPr>
          <w:ilvl w:val="0"/>
          <w:numId w:val="1"/>
        </w:numPr>
        <w:spacing w:after="60"/>
      </w:pPr>
      <w:r>
        <w:t xml:space="preserve">Established FinOps governance for hybrid-cloud platforms, delivering cost optimization dashboards and accelerators that drove significant efficiency gains.</w:t>
      </w:r>
    </w:p>
    <w:p>
      <w:pPr>
        <w:pStyle w:val="ListParagraph"/>
        <w:numPr>
          <w:ilvl w:val="0"/>
          <w:numId w:val="1"/>
        </w:numPr>
        <w:spacing w:after="60"/>
      </w:pPr>
      <w:r>
        <w:t xml:space="preserve">Cultivated strategic partnerships with C-suite and global leadership across multiple continents to drive critical platform modernization initiatives.</w:t>
      </w:r>
    </w:p>
    <w:p>
      <w:pPr>
        <w:spacing w:before="120"/>
      </w:pPr>
      <w:r>
        <w:rPr>
          <w:b/>
          <w:bCs/>
          <w:sz w:val="22"/>
          <w:szCs w:val="22"/>
          <w:rFonts w:ascii="Calibri" w:cs="Calibri" w:eastAsia="Calibri" w:hAnsi="Calibri"/>
        </w:rPr>
        <w:t xml:space="preserve">Company: Kyndryl Solutions Pvt. Ltd. — Associate Director (Sep 2021 – Aug 2024)</w:t>
      </w:r>
    </w:p>
    <w:p>
      <w:pPr>
        <w:pStyle w:val="ListParagraph"/>
        <w:numPr>
          <w:ilvl w:val="0"/>
          <w:numId w:val="1"/>
        </w:numPr>
        <w:spacing w:after="60"/>
      </w:pPr>
      <w:r>
        <w:t xml:space="preserve">Directed global SRE and platform operations across 100,000+ critical IT assets, ensuring resilient infrastructure for global enterprise clients.</w:t>
      </w:r>
    </w:p>
    <w:p>
      <w:pPr>
        <w:pStyle w:val="ListParagraph"/>
        <w:numPr>
          <w:ilvl w:val="0"/>
          <w:numId w:val="1"/>
        </w:numPr>
        <w:spacing w:after="60"/>
      </w:pPr>
      <w:r>
        <w:t xml:space="preserve">Drove the development and deployment of an Agentic AI system for autonomous AIOps, significantly enhancing system resilience and operational efficiency.</w:t>
      </w:r>
    </w:p>
    <w:p>
      <w:pPr>
        <w:pStyle w:val="ListParagraph"/>
        <w:numPr>
          <w:ilvl w:val="0"/>
          <w:numId w:val="1"/>
        </w:numPr>
        <w:spacing w:after="60"/>
      </w:pPr>
      <w:r>
        <w:t xml:space="preserve">Implemented MLOps and AI observability frameworks at scale, elevating the reliability and performance of AI-powered systems.</w:t>
      </w:r>
    </w:p>
    <w:p>
      <w:pPr>
        <w:pStyle w:val="ListParagraph"/>
        <w:numPr>
          <w:ilvl w:val="0"/>
          <w:numId w:val="1"/>
        </w:numPr>
        <w:spacing w:after="60"/>
      </w:pPr>
      <w:r>
        <w:t xml:space="preserve">Led a $30M+ vendor insourcing initiative, transforming critical infrastructure services to enhance agility and deliver substantial operational cost reductions.</w:t>
      </w:r>
    </w:p>
    <w:p>
      <w:pPr>
        <w:spacing w:before="120"/>
      </w:pPr>
      <w:r>
        <w:rPr>
          <w:b/>
          <w:bCs/>
          <w:sz w:val="22"/>
          <w:szCs w:val="22"/>
          <w:rFonts w:ascii="Calibri" w:cs="Calibri" w:eastAsia="Calibri" w:hAnsi="Calibri"/>
        </w:rPr>
        <w:t xml:space="preserve">Company: IBM India Pvt. Ltd. — Global Process Owner (Jan 2014 – Aug 2021)</w:t>
      </w:r>
    </w:p>
    <w:p>
      <w:pPr>
        <w:pStyle w:val="ListParagraph"/>
        <w:numPr>
          <w:ilvl w:val="0"/>
          <w:numId w:val="1"/>
        </w:numPr>
        <w:spacing w:after="60"/>
      </w:pPr>
      <w:r>
        <w:t xml:space="preserve">Provided global delivery leadership for complex, high-stakes service engagements, ensuring consistent excellence across international centers.</w:t>
      </w:r>
    </w:p>
    <w:p>
      <w:pPr>
        <w:pStyle w:val="ListParagraph"/>
        <w:numPr>
          <w:ilvl w:val="0"/>
          <w:numId w:val="1"/>
        </w:numPr>
        <w:spacing w:after="60"/>
      </w:pPr>
      <w:r>
        <w:t xml:space="preserve">Managed $25M annual operational expenditures, generating $8M in savings through strategic automation, vendor renegotiation, and license optimization initiatives.</w:t>
      </w:r>
    </w:p>
    <w:p>
      <w:pPr>
        <w:pStyle w:val="ListParagraph"/>
        <w:numPr>
          <w:ilvl w:val="0"/>
          <w:numId w:val="1"/>
        </w:numPr>
        <w:spacing w:after="60"/>
      </w:pPr>
      <w:r>
        <w:t xml:space="preserve">Built and scaled the Capacity Management Center of Excellence from 10 to 250 members across 5 countries, establishing global talent and operational standards.</w:t>
      </w:r>
    </w:p>
    <w:p>
      <w:pPr>
        <w:pStyle w:val="ListParagraph"/>
        <w:numPr>
          <w:ilvl w:val="0"/>
          <w:numId w:val="1"/>
        </w:numPr>
        <w:spacing w:after="60"/>
      </w:pPr>
      <w:r>
        <w:t xml:space="preserve">Modernized contact center operations by integrating AI-driven insights, significantly accelerating response times and improving service quality.</w:t>
      </w:r>
    </w:p>
    <w:p>
      <w:pPr>
        <w:spacing w:before="120"/>
      </w:pPr>
      <w:r>
        <w:rPr>
          <w:b/>
          <w:bCs/>
          <w:sz w:val="22"/>
          <w:szCs w:val="22"/>
          <w:rFonts w:ascii="Calibri" w:cs="Calibri" w:eastAsia="Calibri" w:hAnsi="Calibri"/>
        </w:rPr>
        <w:t xml:space="preserve">Company: Wipro Technologies — Senior Consultant (Jun 2010 – Nov 2013)</w:t>
      </w:r>
    </w:p>
    <w:p>
      <w:pPr>
        <w:pStyle w:val="ListParagraph"/>
        <w:numPr>
          <w:ilvl w:val="0"/>
          <w:numId w:val="1"/>
        </w:numPr>
        <w:spacing w:after="60"/>
      </w:pPr>
      <w:r>
        <w:t xml:space="preserve">Led ITSM consulting and automation strategy engagements for major telecom and BFSI clients, driving significant improvements in service delivery speed and quality.</w:t>
      </w:r>
    </w:p>
    <w:p>
      <w:pPr>
        <w:pStyle w:val="ListParagraph"/>
        <w:numPr>
          <w:ilvl w:val="0"/>
          <w:numId w:val="1"/>
        </w:numPr>
        <w:spacing w:after="60"/>
      </w:pPr>
      <w:r>
        <w:t xml:space="preserve">Introduced standardized operating procedures and performance dashboards, enhancing process efficiency and governance across critical IT operations.</w:t>
      </w:r>
    </w:p>
    <w:p>
      <w:pPr>
        <w:pStyle w:val="ListParagraph"/>
        <w:numPr>
          <w:ilvl w:val="0"/>
          <w:numId w:val="1"/>
        </w:numPr>
        <w:spacing w:after="60"/>
      </w:pPr>
      <w:r>
        <w:t xml:space="preserve">Directed Problem and Change Management, leading Root Cause Analysis (RCA) and ensuring risk-controlled changes with robust governance frameworks.</w:t>
      </w:r>
    </w:p>
    <w:p>
      <w:pPr>
        <w:spacing w:before="120"/>
      </w:pPr>
      <w:r>
        <w:rPr>
          <w:b/>
          <w:bCs/>
          <w:sz w:val="22"/>
          <w:szCs w:val="22"/>
          <w:rFonts w:ascii="Calibri" w:cs="Calibri" w:eastAsia="Calibri" w:hAnsi="Calibri"/>
        </w:rPr>
        <w:t xml:space="preserve">Company: Tech Mahindra Ltd. — Senior Technical Associate (Oct 2006 – May 2010)</w:t>
      </w:r>
    </w:p>
    <w:p>
      <w:pPr>
        <w:pStyle w:val="ListParagraph"/>
        <w:numPr>
          <w:ilvl w:val="0"/>
          <w:numId w:val="1"/>
        </w:numPr>
        <w:spacing w:after="60"/>
      </w:pPr>
      <w:r>
        <w:t xml:space="preserve">Led the deployment and management of enterprise monitoring tools for critical client infrastructures.</w:t>
      </w:r>
    </w:p>
    <w:p>
      <w:pPr>
        <w:pStyle w:val="ListParagraph"/>
        <w:numPr>
          <w:ilvl w:val="0"/>
          <w:numId w:val="1"/>
        </w:numPr>
        <w:spacing w:after="60"/>
      </w:pPr>
      <w:r>
        <w:t xml:space="preserve">Managed major release deployments for British Telecom, ensuring minimal disruption and high availability across complex systems.</w:t>
      </w:r>
    </w:p>
    <w:p>
      <w:pPr>
        <w:pStyle w:val="ListParagraph"/>
        <w:numPr>
          <w:ilvl w:val="0"/>
          <w:numId w:val="1"/>
        </w:numPr>
        <w:spacing w:after="60"/>
      </w:pPr>
      <w:r>
        <w:t xml:space="preserve">Directed application support for NHS UK, ensuring timely resolution of issues across critical healthcare platforms.</w:t>
      </w:r>
    </w:p>
    <w:p>
      <w:pPr>
        <w:spacing w:before="200" w:after="100"/>
      </w:pPr>
      <w:r>
        <w:rPr>
          <w:b/>
          <w:bCs/>
          <w:sz w:val="26"/>
          <w:szCs w:val="26"/>
          <w:caps/>
          <w:rFonts w:ascii="Calibri" w:cs="Calibri" w:eastAsia="Calibri" w:hAnsi="Calibri"/>
        </w:rPr>
        <w:t xml:space="preserve">PORTFOLIO PROJECTS</w:t>
      </w:r>
    </w:p>
    <w:p>
      <w:pPr>
        <w:pStyle w:val="ListParagraph"/>
        <w:numPr>
          <w:ilvl w:val="0"/>
          <w:numId w:val="1"/>
        </w:numPr>
        <w:spacing w:after="60"/>
      </w:pPr>
      <w:r>
        <w:t xml:space="preserve">Project: Ready4Exam (Conceptual) – GenAI-Powered Adaptive Learning Platform</w:t>
      </w:r>
    </w:p>
    <w:p>
      <w:pPr>
        <w:pStyle w:val="ListParagraph"/>
        <w:numPr>
          <w:ilvl w:val="0"/>
          <w:numId w:val="1"/>
        </w:numPr>
        <w:spacing w:after="60"/>
      </w:pPr>
      <w:r>
        <w:t xml:space="preserve">Visionary Leadership: Spearheaded the strategic vision and architectural blueprint for a GenAI-powered adaptive learning platform, designed to revolutionize personalized education and dynamic assessment at enterprise scale.</w:t>
      </w:r>
    </w:p>
    <w:p>
      <w:pPr>
        <w:pStyle w:val="ListParagraph"/>
        <w:numPr>
          <w:ilvl w:val="0"/>
          <w:numId w:val="1"/>
        </w:numPr>
        <w:spacing w:after="60"/>
      </w:pPr>
      <w:r>
        <w:t xml:space="preserve">GenAI &amp; Ethical AI Design: Orchestrated advanced LLM integration for real-time content generation, adaptive curricula, and automated feedback, prioritizing accuracy and ethical AI governance.</w:t>
      </w:r>
    </w:p>
    <w:p>
      <w:pPr>
        <w:pStyle w:val="ListParagraph"/>
        <w:numPr>
          <w:ilvl w:val="0"/>
          <w:numId w:val="1"/>
        </w:numPr>
        <w:spacing w:after="60"/>
      </w:pPr>
      <w:r>
        <w:t xml:space="preserve">Platform Architecture &amp; Execution: Directed cross-functional engineering and product teams, defining scalable, secure, and multi-tenant architectural patterns for deployment in regulated environments.</w:t>
      </w:r>
    </w:p>
    <w:p>
      <w:pPr>
        <w:pStyle w:val="ListParagraph"/>
        <w:numPr>
          <w:ilvl w:val="0"/>
          <w:numId w:val="1"/>
        </w:numPr>
        <w:spacing w:after="60"/>
      </w:pPr>
      <w:r>
        <w:t xml:space="preserve">Business &amp; Market Impact: Articulated the platform's market differentiation through intelligent tutoring and dynamic assessment, projecting enhanced learner engagement, knowledge retention, and clear monetization pathways.</w:t>
      </w:r>
    </w:p>
    <w:p>
      <w:pPr>
        <w:pStyle w:val="ListParagraph"/>
        <w:numPr>
          <w:ilvl w:val="0"/>
          <w:numId w:val="1"/>
        </w:numPr>
        <w:spacing w:after="60"/>
      </w:pPr>
      <w:r>
        <w:t xml:space="preserve">Project: Ready4Industry (Conceptual) – Enterprise GenAI Solutioning &amp; Automation Platform</w:t>
      </w:r>
    </w:p>
    <w:p>
      <w:pPr>
        <w:pStyle w:val="ListParagraph"/>
        <w:numPr>
          <w:ilvl w:val="0"/>
          <w:numId w:val="1"/>
        </w:numPr>
        <w:spacing w:after="60"/>
      </w:pPr>
      <w:r>
        <w:t xml:space="preserve">Visionary Leadership: Spearheaded the conceptualization and strategic blueprint for an enterprise-grade GenAI platform to accelerate complex workflow automation and solutioning across global industries.</w:t>
      </w:r>
    </w:p>
    <w:p>
      <w:pPr>
        <w:pStyle w:val="ListParagraph"/>
        <w:numPr>
          <w:ilvl w:val="0"/>
          <w:numId w:val="1"/>
        </w:numPr>
        <w:spacing w:after="60"/>
      </w:pPr>
      <w:r>
        <w:t xml:space="preserve">GenAI &amp; Secure Platform Design: Guided the architectural development of a secure, modular platform leveraging LLMs for intelligent process mapping, API integration, and automated code generation, embedding responsible AI principles.</w:t>
      </w:r>
    </w:p>
    <w:p>
      <w:pPr>
        <w:pStyle w:val="ListParagraph"/>
        <w:numPr>
          <w:ilvl w:val="0"/>
          <w:numId w:val="1"/>
        </w:numPr>
        <w:spacing w:after="60"/>
      </w:pPr>
      <w:r>
        <w:t xml:space="preserve">Technical Roadmap &amp; Execution: Drove the end-to-end technical architecture, MLOps strategy, and engineering roadmap for a scalable, cloud-native platform integrating with diverse enterprise systems.</w:t>
      </w:r>
    </w:p>
    <w:p>
      <w:pPr>
        <w:pStyle w:val="ListParagraph"/>
        <w:numPr>
          <w:ilvl w:val="0"/>
          <w:numId w:val="1"/>
        </w:numPr>
        <w:spacing w:after="60"/>
      </w:pPr>
      <w:r>
        <w:t xml:space="preserve">Business &amp; Revenue Impact: Designed the platform for significant operational efficiency, rapid time-to-market for enterprise applications, and the generation of new revenue streams through GenAI solution templates and API monetization.</w:t>
      </w:r>
    </w:p>
    <w:p>
      <w:pPr>
        <w:spacing w:before="200" w:after="100"/>
      </w:pPr>
      <w:r>
        <w:rPr>
          <w:b/>
          <w:bCs/>
          <w:sz w:val="26"/>
          <w:szCs w:val="26"/>
          <w:caps/>
          <w:rFonts w:ascii="Calibri" w:cs="Calibri" w:eastAsia="Calibri" w:hAnsi="Calibri"/>
        </w:rPr>
        <w:t xml:space="preserve">TECHNICAL LEADERSHIP SKILLS</w:t>
      </w:r>
    </w:p>
    <w:p>
      <w:r>
        <w:rPr>
          <w:sz w:val="22"/>
          <w:szCs w:val="22"/>
          <w:rFonts w:ascii="Calibri" w:cs="Calibri" w:eastAsia="Calibri" w:hAnsi="Calibri"/>
        </w:rPr>
        <w:t xml:space="preserve">Generative AI &amp; ML: LLMs, RAG, Agentic Systems, NLP, Prompt Engineering, Model Evaluation, AI Observability</w:t>
      </w:r>
    </w:p>
    <w:p>
      <w:r>
        <w:rPr>
          <w:sz w:val="22"/>
          <w:szCs w:val="22"/>
          <w:rFonts w:ascii="Calibri" w:cs="Calibri" w:eastAsia="Calibri" w:hAnsi="Calibri"/>
        </w:rPr>
        <w:t xml:space="preserve">Cloud &amp; SaaS Platforms: Azure, AWS, GCP, Kubernetes, Microservices, Cloud-Native Architecture, Enterprise SaaS Architectures, Data Pipelines</w:t>
      </w:r>
    </w:p>
    <w:p>
      <w:r>
        <w:rPr>
          <w:sz w:val="22"/>
          <w:szCs w:val="22"/>
          <w:rFonts w:ascii="Calibri" w:cs="Calibri" w:eastAsia="Calibri" w:hAnsi="Calibri"/>
        </w:rPr>
        <w:t xml:space="preserve">SRE &amp; DevOps: Site Reliability Engineering, CI/CD, Infrastructure-as-Code, Distributed Tracing, Telemetry, Incident Management, Python</w:t>
      </w:r>
    </w:p>
    <w:p>
      <w:r>
        <w:rPr>
          <w:sz w:val="22"/>
          <w:szCs w:val="22"/>
          <w:rFonts w:ascii="Calibri" w:cs="Calibri" w:eastAsia="Calibri" w:hAnsi="Calibri"/>
        </w:rPr>
        <w:t xml:space="preserve">Governance &amp; Compliance: ITSM Frameworks (ITIL, NIST), FinOps Tools, Cloud Cost Optimization</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w:t>
      </w:r>
    </w:p>
    <w:p>
      <w:pPr>
        <w:pStyle w:val="ListParagraph"/>
        <w:numPr>
          <w:ilvl w:val="0"/>
          <w:numId w:val="1"/>
        </w:numPr>
        <w:spacing w:after="60"/>
      </w:pPr>
      <w:r>
        <w:t xml:space="preserve">AWS Certified Cloud Practitioner</w:t>
      </w:r>
    </w:p>
    <w:p>
      <w:pPr>
        <w:pStyle w:val="ListParagraph"/>
        <w:numPr>
          <w:ilvl w:val="0"/>
          <w:numId w:val="1"/>
        </w:numPr>
        <w:spacing w:after="60"/>
      </w:pPr>
      <w:r>
        <w:t xml:space="preserve">FinOps Certified Practitioner</w:t>
      </w:r>
    </w:p>
    <w:p>
      <w:pPr>
        <w:pStyle w:val="ListParagraph"/>
        <w:numPr>
          <w:ilvl w:val="0"/>
          <w:numId w:val="1"/>
        </w:numPr>
        <w:spacing w:after="60"/>
      </w:pPr>
      <w:r>
        <w:t xml:space="preserve">Google Digital Leader</w:t>
      </w:r>
    </w:p>
    <w:p>
      <w:pPr>
        <w:pStyle w:val="ListParagraph"/>
        <w:numPr>
          <w:ilvl w:val="0"/>
          <w:numId w:val="1"/>
        </w:numPr>
        <w:spacing w:after="60"/>
      </w:pPr>
      <w:r>
        <w:t xml:space="preserve">IBM Architect &amp; Consulting Badges</w:t>
      </w:r>
    </w:p>
    <w:p>
      <w:pPr>
        <w:pStyle w:val="ListParagraph"/>
        <w:numPr>
          <w:ilvl w:val="0"/>
          <w:numId w:val="1"/>
        </w:numPr>
        <w:spacing w:after="60"/>
      </w:pPr>
      <w:r>
        <w:t xml:space="preserve">ITIL v3</w:t>
      </w:r>
    </w:p>
    <w:p>
      <w:pPr>
        <w:pStyle w:val="ListParagraph"/>
        <w:numPr>
          <w:ilvl w:val="0"/>
          <w:numId w:val="1"/>
        </w:numPr>
        <w:spacing w:after="60"/>
      </w:pPr>
      <w:r>
        <w:t xml:space="preserve">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spacing w:after="60"/>
      </w:pPr>
      <w:r>
        <w:t xml:space="preserve">Post Graduate Programme in Project Management – IIT Roorkee, 2025</w:t>
      </w:r>
    </w:p>
    <w:p>
      <w:pPr>
        <w:pStyle w:val="ListParagraph"/>
        <w:numPr>
          <w:ilvl w:val="0"/>
          <w:numId w:val="1"/>
        </w:numPr>
        <w:spacing w:after="60"/>
      </w:pPr>
      <w:r>
        <w:t xml:space="preserve">Master’s in Information Technology – Manipal Academy of Higher Education, 2002</w:t>
      </w:r>
    </w:p>
    <w:p>
      <w:pPr>
        <w:pStyle w:val="ListParagraph"/>
        <w:numPr>
          <w:ilvl w:val="0"/>
          <w:numId w:val="1"/>
        </w:numPr>
        <w:spacing w:after="60"/>
      </w:pPr>
      <w:r>
        <w:t xml:space="preserve">Bachelor of Science – Anugrah Narayan College, Patna University, 1999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2025-12-13T03:39:02.818Z</dcterms:created>
  <dcterms:modified xsi:type="dcterms:W3CDTF">2025-12-13T03:39:02.818Z</dcterms:modified>
</cp:coreProperties>
</file>

<file path=docProps/custom.xml><?xml version="1.0" encoding="utf-8"?>
<Properties xmlns="http://schemas.openxmlformats.org/officeDocument/2006/custom-properties" xmlns:vt="http://schemas.openxmlformats.org/officeDocument/2006/docPropsVTypes"/>
</file>