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 global executive with 21+ years of leadership in enterprise solution consulting and pre-sales, consistently driving technical wins for complex, multi-stakeholder deals across international markets. Possesses deep domain expertise in financial services, fraud management, AML/KYC, and payment technologies, with a proven track record of building and scaling high-performance solution consulting teams. Adept at translating intricate technical landscapes into compelling business value for C-level stakeholders, developing robust solution architectures, and standardizing methodologies to optimize sales cycles. Leverages a strong foundation in AI-driven platform modernization and strategic advisory to deliver transformative client impact and competitive differentiation. Poised to lead Clari5's Solution Consulting organization, driving market share and delivering exceptional value in fraud and financial crime prevention.</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Solution Consulting Leadership: Pre-Sales Strategy, Global Team Building &amp; Scaling, Resource Allocation, Sales Enablement | Enterprise Client Engagement: C-Level Advisory, Technical Win Ownership, RFP/RFI Leadership, Executive Stakeholder Management | Domain Expertise: Financial Services, Fraud Management, AML/KYC, Payments, Risk &amp; Compliance Technology | Solution Design &amp; Value Articulation: Architecture Development, Business Case Creation, Platform Integration, Proof-of-Concept (PoC) | Strategic Program Development: Solution Consulting Methodologies, Playbook Creation, Demo Environments, Reusable Assets</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PwC — Senior Manager (Sep 2024 – Present)</w:t>
      </w:r>
    </w:p>
    <w:p>
      <w:pPr>
        <w:pStyle w:val="ListParagraph"/>
        <w:numPr>
          <w:ilvl w:val="0"/>
          <w:numId w:val="1"/>
        </w:numPr>
        <w:spacing w:after="60"/>
      </w:pPr>
      <w:r>
        <w:t xml:space="preserve">Led strategic advisory engagements for enterprise healthcare and BFSI clients, ensuring alignment with industry standards and business objectives.</w:t>
      </w:r>
    </w:p>
    <w:p>
      <w:pPr>
        <w:pStyle w:val="ListParagraph"/>
        <w:numPr>
          <w:ilvl w:val="0"/>
          <w:numId w:val="1"/>
        </w:numPr>
        <w:spacing w:after="60"/>
      </w:pPr>
      <w:r>
        <w:t xml:space="preserve">Engineered an AI-driven automation framework, reducing repeat failures by 60% and significantly improving service reliability for clients.</w:t>
      </w:r>
    </w:p>
    <w:p>
      <w:pPr>
        <w:pStyle w:val="ListParagraph"/>
        <w:numPr>
          <w:ilvl w:val="0"/>
          <w:numId w:val="1"/>
        </w:numPr>
        <w:spacing w:after="60"/>
      </w:pPr>
      <w:r>
        <w:t xml:space="preserve">Directed FinOps initiatives, developing hybrid-cloud cost dashboards and accelerators to drive proactive budget optimization for large-scale operations.</w:t>
      </w:r>
    </w:p>
    <w:p>
      <w:pPr>
        <w:pStyle w:val="ListParagraph"/>
        <w:numPr>
          <w:ilvl w:val="0"/>
          <w:numId w:val="1"/>
        </w:numPr>
        <w:spacing w:after="60"/>
      </w:pPr>
      <w:r>
        <w:t xml:space="preserve">Cultivated strong relationships with global leadership across US, LatAm, Europe, and APAC to deliver comprehensive platform modernization roadmaps.</w:t>
      </w:r>
    </w:p>
    <w:p>
      <w:pPr>
        <w:pStyle w:val="ListParagraph"/>
        <w:numPr>
          <w:ilvl w:val="0"/>
          <w:numId w:val="1"/>
        </w:numPr>
        <w:spacing w:after="60"/>
      </w:pPr>
      <w:r>
        <w:t xml:space="preserve">Kyndryl Solutions Pvt. Ltd. — Associate Director (Sep 2021 – Aug 2024)</w:t>
      </w:r>
    </w:p>
    <w:p>
      <w:pPr>
        <w:pStyle w:val="ListParagraph"/>
        <w:numPr>
          <w:ilvl w:val="0"/>
          <w:numId w:val="1"/>
        </w:numPr>
        <w:spacing w:after="60"/>
      </w:pPr>
      <w:r>
        <w:t xml:space="preserve">Directed global technology service delivery for large-scale mission-critical data center portfolios, enhancing reliability and capacity management.</w:t>
      </w:r>
    </w:p>
    <w:p>
      <w:pPr>
        <w:pStyle w:val="ListParagraph"/>
        <w:numPr>
          <w:ilvl w:val="0"/>
          <w:numId w:val="1"/>
        </w:numPr>
        <w:spacing w:after="60"/>
      </w:pPr>
      <w:r>
        <w:t xml:space="preserve">Led a $30M+ vendor displacement program, insourcing critical infrastructure services to improve operational agility and reduce third-party dependency.</w:t>
      </w:r>
    </w:p>
    <w:p>
      <w:pPr>
        <w:pStyle w:val="ListParagraph"/>
        <w:numPr>
          <w:ilvl w:val="0"/>
          <w:numId w:val="1"/>
        </w:numPr>
        <w:spacing w:after="60"/>
      </w:pPr>
      <w:r>
        <w:t xml:space="preserve">Championed Cloud &amp; DevOps enablement, including AWS migrations and an Agentic AI system for autonomous response to AIOps insights.</w:t>
      </w:r>
    </w:p>
    <w:p>
      <w:pPr>
        <w:pStyle w:val="ListParagraph"/>
        <w:numPr>
          <w:ilvl w:val="0"/>
          <w:numId w:val="1"/>
        </w:numPr>
        <w:spacing w:after="60"/>
      </w:pPr>
      <w:r>
        <w:t xml:space="preserve">Managed operations for 100,000+ physical IT assets, ensuring high availability and performance across complex enterprise environments.</w:t>
      </w:r>
    </w:p>
    <w:p>
      <w:pPr>
        <w:pStyle w:val="ListParagraph"/>
        <w:numPr>
          <w:ilvl w:val="0"/>
          <w:numId w:val="1"/>
        </w:numPr>
        <w:spacing w:after="60"/>
      </w:pPr>
      <w:r>
        <w:t xml:space="preserve">IBM India Pvt. Ltd. — Global Process Owner (Jan 2014 – Aug 2021)</w:t>
      </w:r>
    </w:p>
    <w:p>
      <w:pPr>
        <w:pStyle w:val="ListParagraph"/>
        <w:numPr>
          <w:ilvl w:val="0"/>
          <w:numId w:val="1"/>
        </w:numPr>
        <w:spacing w:after="60"/>
      </w:pPr>
      <w:r>
        <w:t xml:space="preserve">Provided global delivery leadership for complex financial services engagements (e.g., Scotiabank), ensuring consistent service excellence across global centers.</w:t>
      </w:r>
    </w:p>
    <w:p>
      <w:pPr>
        <w:pStyle w:val="ListParagraph"/>
        <w:numPr>
          <w:ilvl w:val="0"/>
          <w:numId w:val="1"/>
        </w:numPr>
        <w:spacing w:after="60"/>
      </w:pPr>
      <w:r>
        <w:t xml:space="preserve">Managed $25M annual OPEX, generating $8M savings through automation, vendor renegotiation, and license optimization for enterprise operations.</w:t>
      </w:r>
    </w:p>
    <w:p>
      <w:pPr>
        <w:pStyle w:val="ListParagraph"/>
        <w:numPr>
          <w:ilvl w:val="0"/>
          <w:numId w:val="1"/>
        </w:numPr>
        <w:spacing w:after="60"/>
      </w:pPr>
      <w:r>
        <w:t xml:space="preserve">Built and scaled the Capacity Management Center of Excellence from 10 to 250 members across 5 countries, establishing global best practices.</w:t>
      </w:r>
    </w:p>
    <w:p>
      <w:pPr>
        <w:pStyle w:val="ListParagraph"/>
        <w:numPr>
          <w:ilvl w:val="0"/>
          <w:numId w:val="1"/>
        </w:numPr>
        <w:spacing w:after="60"/>
      </w:pPr>
      <w:r>
        <w:t xml:space="preserve">Modernized contact center operations by integrating AI-driven insights to accelerate response times and improve customer experience.</w:t>
      </w:r>
    </w:p>
    <w:p>
      <w:pPr>
        <w:pStyle w:val="ListParagraph"/>
        <w:numPr>
          <w:ilvl w:val="0"/>
          <w:numId w:val="1"/>
        </w:numPr>
        <w:spacing w:after="60"/>
      </w:pPr>
      <w:r>
        <w:t xml:space="preserve">Wipro Technologies — Senior Consultant (Jun 2010 – Nov 2013)</w:t>
      </w:r>
    </w:p>
    <w:p>
      <w:pPr>
        <w:pStyle w:val="ListParagraph"/>
        <w:numPr>
          <w:ilvl w:val="0"/>
          <w:numId w:val="1"/>
        </w:numPr>
        <w:spacing w:after="60"/>
      </w:pPr>
      <w:r>
        <w:t xml:space="preserve">Delivered ITSM consulting and automation strategies for major telecom and BFSI customers, driving operational efficiency and value.</w:t>
      </w:r>
    </w:p>
    <w:p>
      <w:pPr>
        <w:pStyle w:val="ListParagraph"/>
        <w:numPr>
          <w:ilvl w:val="0"/>
          <w:numId w:val="1"/>
        </w:numPr>
        <w:spacing w:after="60"/>
      </w:pPr>
      <w:r>
        <w:t xml:space="preserve">Introduced standard operating procedures and performance dashboards, significantly improving delivery speed and quality across engagements.</w:t>
      </w:r>
    </w:p>
    <w:p>
      <w:pPr>
        <w:pStyle w:val="ListParagraph"/>
        <w:numPr>
          <w:ilvl w:val="0"/>
          <w:numId w:val="1"/>
        </w:numPr>
        <w:spacing w:after="60"/>
      </w:pPr>
      <w:r>
        <w:t xml:space="preserve">Architected Problem and Change Management frameworks, enabling robust governance and risk-controlled transformations for critical client systems.</w:t>
      </w:r>
    </w:p>
    <w:p>
      <w:pPr>
        <w:pStyle w:val="ListParagraph"/>
        <w:numPr>
          <w:ilvl w:val="0"/>
          <w:numId w:val="1"/>
        </w:numPr>
        <w:spacing w:after="60"/>
      </w:pPr>
      <w:r>
        <w:t xml:space="preserve">Tech Mahindra Ltd. — Senior Technical Associate (Oct 2006 – May 2010)</w:t>
      </w:r>
    </w:p>
    <w:p>
      <w:pPr>
        <w:pStyle w:val="ListParagraph"/>
        <w:numPr>
          <w:ilvl w:val="0"/>
          <w:numId w:val="1"/>
        </w:numPr>
        <w:spacing w:after="60"/>
      </w:pPr>
      <w:r>
        <w:t xml:space="preserve">Led deployment and optimization of enterprise monitoring tools (Nagios, Zabbix, HP OpenView) for critical infrastructure across large-scale client environments.</w:t>
      </w:r>
    </w:p>
    <w:p>
      <w:pPr>
        <w:pStyle w:val="ListParagraph"/>
        <w:numPr>
          <w:ilvl w:val="0"/>
          <w:numId w:val="1"/>
        </w:numPr>
        <w:spacing w:after="60"/>
      </w:pPr>
      <w:r>
        <w:t xml:space="preserve">Oversaw major release deployments for British Telecom, ensuring high availability and minimal service disruption for mission-critical systems.</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Cloud Platforms &amp; FinOps: Azure (Monitor), AWS (CloudWatch), GCP, CoreStack, ECAM, Flexera, Infrastructure-as-Code</w:t>
      </w:r>
    </w:p>
    <w:p>
      <w:r>
        <w:rPr>
          <w:sz w:val="22"/>
          <w:szCs w:val="22"/>
          <w:rFonts w:ascii="Calibri" w:cs="Calibri" w:eastAsia="Calibri" w:hAnsi="Calibri"/>
        </w:rPr>
        <w:t xml:space="preserve">AI/Automation &amp; Engineering: AI/ML Ops, Agentic AI Systems, API-driven Automation, Python, Shell Scripting, CI/CD (GitHub Actions), Data Pipeline Automation</w:t>
      </w:r>
    </w:p>
    <w:p>
      <w:r>
        <w:rPr>
          <w:sz w:val="22"/>
          <w:szCs w:val="22"/>
          <w:rFonts w:ascii="Calibri" w:cs="Calibri" w:eastAsia="Calibri" w:hAnsi="Calibri"/>
        </w:rPr>
        <w:t xml:space="preserve">Platform &amp; Backend: Backend Logic Development, API Design (Schemas, Endpoints), Data Modeling (Indexing, Query Tuning), Authentication, RBAC, Serverless Functions</w:t>
      </w:r>
    </w:p>
    <w:p>
      <w:r>
        <w:rPr>
          <w:sz w:val="22"/>
          <w:szCs w:val="22"/>
          <w:rFonts w:ascii="Calibri" w:cs="Calibri" w:eastAsia="Calibri" w:hAnsi="Calibri"/>
        </w:rPr>
        <w:t xml:space="preserve">Observability &amp; SRE: Datadog, New Relic, Prometheus, Grafana, ScienceLogic, Distributed Tracing, SLOs, Telemetry Correlation, Alert Hygiene</w:t>
      </w:r>
    </w:p>
    <w:p>
      <w:r>
        <w:rPr>
          <w:sz w:val="22"/>
          <w:szCs w:val="22"/>
          <w:rFonts w:ascii="Calibri" w:cs="Calibri" w:eastAsia="Calibri" w:hAnsi="Calibri"/>
        </w:rPr>
        <w:t xml:space="preserve">ITSM &amp; Infrastructure: ServiceNow, Remedy, Jira Service Management, Ansible, VMware Tanzu, HP OpenView, SolarWinds, Zabbix</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2025-12-13T08:23:27.933Z</dcterms:created>
  <dcterms:modified xsi:type="dcterms:W3CDTF">2025-12-13T08:23:27.933Z</dcterms:modified>
</cp:coreProperties>
</file>

<file path=docProps/custom.xml><?xml version="1.0" encoding="utf-8"?>
<Properties xmlns="http://schemas.openxmlformats.org/officeDocument/2006/custom-properties" xmlns:vt="http://schemas.openxmlformats.org/officeDocument/2006/docPropsVTypes"/>
</file>