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 visionary technology executive with 21+ years of global leadership, specializing in pioneering enterprise-scale AI/ML and Generative AI solutions. Proven success in defining multi-year AI roadmaps, accelerating innovation, and scaling complex platforms across regulated industries, adept at balancing rapid technological advancement with robust governance, security, and compliance. Expert in building and mentoring high-performing, geographically distributed engineering teams while driving strategic alignment with C-suite stakeholders. Committed to shaping the future of AI-driven workflow automation and delivering transformative business value for Pegasystems' global enterprise clients.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Generative AI Strategy &amp; Vision | Enterprise AI/ML Product Development | AI Governance &amp; Responsible AI | Global Engineering Leadership (50+ Teams) | Cloud-Native Architectures &amp; MLOps | Platform Modernization &amp; Transformation | Strategic Stakeholder Engagement | Market &amp; Thought Leadership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enterprise healthcare and BFSI clients on GenAI strategy and adoption, integrating responsible AI principles and compliance frameworks for secure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and deployed an AI-driven automation framework across client operations, reducing repeat failures by 60% and enhancing service reliability at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initiatives, developing hybrid-cloud cost optimization strategies and dashboards for proactive budget governance in AI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C-suite relationships across global regions (US, LatAm, Europe, APAC) to align on technology roadmaps and drive platform modernization initiatives.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global SRE and Platform Operations for mission-critical enterprise platforms, overseeing 100,000+ IT assets and ensuring enterprise-scale reliability and uptime.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a $30M+ vendor displacement program, insourcing critical infrastructure services to enhance control, agility, and reduce dependency for strategic AI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MLOps enablement, orchestrating large-scale cloud-native transformations and implementing robust MLOps practices for model deployment, monitoring, evaluation, and observability across diverse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deployed an Agentic AI system for autonomous response to AIOps insights, significantly improving operational efficiency and incident resolution.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service engagements, overseeing a $25M annual OPEX budget and driving enterprise-wide capacity management strategies.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Generated $8M in OPEX savings through automation, strategic vendor renegotiation, and license optimization, reinvesting in innovation and advanced technologies.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the modernization of global contact center operations by integrating AI/ML-driven insights and automation, accelerating response times and enhancing customer experience at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standardizing ITIL-based frameworks globally.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strategic ITSM consulting and automation strategies for major telecom and BFSI customers, establishing robust governance frameworks and improving service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strategic Problem and Change Management initiatives, ensuring risk-controlled transformations and optimizing critical infrastructure availability for large-scale enterprise operations.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critical infrastructure reliability by leading the deployment and management of enterprise monitoring platforms, ensuring comprehensive visibility for high-stakes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large-scale, critical release deployments for British Telecom and spearheaded application support for NHS UK, ensuring high availability and continuous operation of core services.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critical incident response for mission-critical telecom systems, significantly reducing downtime and enhancing service continuity through rapid troubleshooting and standardized protocols.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Vision: Conceptualized and led the architectural vision for an AI-powered adaptive learning platform designed to personalize educational pathways and enhance knowledge retention at institutional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/ Innovation Leadership: Integrated Generative AI for dynamic content generation, personalized feedback, and AI agent-driven tutoring, catering to diverse learning styles and achieving targeted learning outcomes.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Modernization: Designed a scalable, cloud-native platform architecture with robust APIs, microservices, and secure data handling to support global user growth and content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Impact: Focused on leveraging AI to democratize access to high-quality, tailored learning experiences, aiming for significant improvements in educational outcomes and institutional intelligence.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Enterprise AI/ML Transformation &amp; Workflow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Business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Vision: Initiated and guided the development of an enterprise-grade AI solution focused on optimizing industry-specific workflows and accelerating decision-making for B2B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/ Innovation Leadership: Engineered a GenAI-enabled data analytics and automation platform, leveraging advanced NLP and RAG architectures for intelligent document processing and predictive insights at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/ Platform Modernization: Oversaw the design and implementation of a secure, compliant, and highly scalable SaaS platform, integrating MLOps practices for continuous model improvement and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Impact: Focused on delivering measurable operational efficiencies and competitive advantage for businesses by transforming legacy processes with intelligent automation and actionable AI insights.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Generative AI &amp; Machine Learning: LLMs (Orchestration, RAG, Agentic Systems), NLP, MLOps, Model Evaluation &amp; Governance, Prompt Engineering, AI Observability, Responsible AI Frameworks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Platform Architectures: AWS, Azure, Hybrid Cloud, Microservices, Kubernetes, APIs, SaaS Architectures, Serverless Functions, FinOps, Infrastructure as Code</w:t>
      </w:r>
    </w:p>
    <w:p>
      <w:r>
        <w:rPr>
          <w:sz w:val="22"/>
          <w:szCs w:val="22"/>
          <w:rFonts w:ascii="Calibri" w:cs="Calibri" w:eastAsia="Calibri" w:hAnsi="Calibri"/>
        </w:rPr>
        <w:t xml:space="preserve">Engineering Practices: CI/CD (GitHub Actions), Python, JavaScript, Shell Scripting, API Design, Data Pipeline Automation, System Reliability Engineering (SRE), Observability (Datadog, New Relic, Prometheus)</w:t>
      </w:r>
    </w:p>
    <w:p>
      <w:r>
        <w:rPr>
          <w:sz w:val="22"/>
          <w:szCs w:val="22"/>
          <w:rFonts w:ascii="Calibri" w:cs="Calibri" w:eastAsia="Calibri" w:hAnsi="Calibri"/>
        </w:rPr>
        <w:t xml:space="preserve">Enterprise Systems &amp; Tools: ServiceNow, ITSM, Data Center Operations, Network Infrastructure, Security &amp; Compliance (NIST, ITIL), Power BI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2025-12-13T04:34:54.659Z</dcterms:created>
  <dcterms:modified xsi:type="dcterms:W3CDTF">2025-12-13T04:34:54.659Z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