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8"/>
          <w:szCs w:val="38"/>
          <w:rFonts w:ascii="Calibri" w:cs="Calibri" w:eastAsia="Calibri" w:hAnsi="Calibri"/>
        </w:rPr>
        <w:t xml:space="preserve">Keshav Karn</w:t>
      </w:r>
    </w:p>
    <w:p>
      <w:pPr>
        <w:spacing w:after="20"/>
      </w:pPr>
      <w:r>
        <w:rPr>
          <w:sz w:val="22"/>
          <w:szCs w:val="22"/>
          <w:rFonts w:ascii="Calibri" w:cs="Calibri" w:eastAsia="Calibri" w:hAnsi="Calibri"/>
        </w:rPr>
        <w:t xml:space="preserve">Hyderabad, India | 8520977573 | keshav.karn@gmail.com</w:t>
      </w:r>
    </w:p>
    <w:p>
      <w:pPr>
        <w:spacing w:after="2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PROFESSIONAL SUMMARY</w:t>
      </w:r>
    </w:p>
    <w:p>
      <w:pPr>
        <w:spacing w:after="80"/>
      </w:pPr>
      <w:r>
        <w:rPr>
          <w:sz w:val="22"/>
          <w:szCs w:val="22"/>
          <w:rFonts w:ascii="Calibri" w:cs="Calibri" w:eastAsia="Calibri" w:hAnsi="Calibri"/>
        </w:rPr>
        <w:t xml:space="preserve">Seasoned technology executive with 21+ years of global leadership experience, specializing in defining and executing enterprise-scale Generative AI strategies and launching cutting-edge AI products. Proven ability to blend rapid innovation with robust security, compliance, and governance, driving measurable business value for global enterprise clients. Deep expertise in LLMs, RAG, agentic systems, MLOps, and modern cloud-native architectures. Adept at building and leading high-performing global engineering teams (50+ members) and establishing strong cross-functional alignment. Positioned to drive enterprise Generative AI strategy, innovation, and adoption as Vice President of GenAI Engineering at Pegasystems.</w:t>
      </w:r>
    </w:p>
    <w:p>
      <w:pPr>
        <w:spacing w:before="200" w:after="100"/>
      </w:pPr>
      <w:r>
        <w:rPr>
          <w:b/>
          <w:bCs/>
          <w:sz w:val="26"/>
          <w:szCs w:val="26"/>
          <w:caps/>
          <w:rFonts w:ascii="Calibri" w:cs="Calibri" w:eastAsia="Calibri" w:hAnsi="Calibri"/>
        </w:rPr>
        <w:t xml:space="preserve">CORE SKILLS</w:t>
      </w:r>
    </w:p>
    <w:p>
      <w:pPr>
        <w:spacing w:after="120"/>
      </w:pPr>
      <w:r>
        <w:rPr>
          <w:sz w:val="22"/>
          <w:szCs w:val="22"/>
          <w:rFonts w:ascii="Calibri" w:cs="Calibri" w:eastAsia="Calibri" w:hAnsi="Calibri"/>
        </w:rPr>
        <w:t xml:space="preserve">- **Generative AI Strategy &amp; Execution:** Vision, Technical Roadmap, LLM Orchestration, RAG Architectures, Agentic Systems, Enterprise AI Adoption, Responsible AI Governance. | - **AI/ML Engineering &amp; MLOps:** End-to-End Development, Deployment &amp; Optimization, MLOps &amp; AI Observability, Model Evaluation, Prompt Management, Secure SDLC. | - **Global Engineering Leadership:** Large-Scale Team Building (50+), Cross-functional Collaboration, Talent Development, Engineering Excellence, Distributed Team Management, Innovation &amp; Research. | - **Cloud &amp; FinOps Optimization:** Cloud-Native Architectures, Cost Governance, Budgeting, Hybrid-Cloud Strategies, Infrastructure Reliability. | - **Enterprise Architecture &amp; Compliance:** Enterprise SaaS Platforms, Microservices, Kubernetes, APIs, NIST &amp; ITIL Standards, Regulatory Compliance. | - **Stakeholder Management:** Executive Communication, Business Value Articulation, Market Engagement, Strategic Partnerships.</w:t>
      </w:r>
    </w:p>
    <w:p>
      <w:pPr>
        <w:spacing w:before="200" w:after="100"/>
      </w:pPr>
      <w:r>
        <w:rPr>
          <w:b/>
          <w:bCs/>
          <w:sz w:val="26"/>
          <w:szCs w:val="26"/>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 **PwC — Senior Manager**</w:t>
      </w:r>
    </w:p>
    <w:p>
      <w:pPr>
        <w:pStyle w:val="ListParagraph"/>
        <w:numPr>
          <w:ilvl w:val="0"/>
          <w:numId w:val="1"/>
        </w:numPr>
        <w:spacing w:after="60"/>
      </w:pPr>
      <w:r>
        <w:t xml:space="preserve">**Sep 2024 – Present**</w:t>
      </w:r>
    </w:p>
    <w:p>
      <w:pPr>
        <w:pStyle w:val="ListParagraph"/>
        <w:numPr>
          <w:ilvl w:val="0"/>
          <w:numId w:val="1"/>
        </w:numPr>
        <w:spacing w:after="60"/>
      </w:pPr>
      <w:r>
        <w:t xml:space="preserve">**Role:** IT Strategy &amp; FinOps Advisor</w:t>
      </w:r>
    </w:p>
    <w:p>
      <w:pPr>
        <w:pStyle w:val="ListParagraph"/>
        <w:numPr>
          <w:ilvl w:val="0"/>
          <w:numId w:val="1"/>
        </w:numPr>
        <w:spacing w:after="60"/>
      </w:pPr>
      <w:r>
        <w:t xml:space="preserve">Advised enterprise healthcare and BFSI clients on IT strategy, responsible AI governance, and FinOps best practices, ensuring adherence to NIST and ITIL standards within regulated sectors.</w:t>
      </w:r>
    </w:p>
    <w:p>
      <w:pPr>
        <w:pStyle w:val="ListParagraph"/>
        <w:numPr>
          <w:ilvl w:val="0"/>
          <w:numId w:val="1"/>
        </w:numPr>
        <w:spacing w:after="60"/>
      </w:pPr>
      <w:r>
        <w:t xml:space="preserve">Engineered and guided GenAI-powered automation frameworks, improving service reliability and reducing repeat failures by **60%** for critical client systems.</w:t>
      </w:r>
    </w:p>
    <w:p>
      <w:pPr>
        <w:pStyle w:val="ListParagraph"/>
        <w:numPr>
          <w:ilvl w:val="0"/>
          <w:numId w:val="1"/>
        </w:numPr>
        <w:spacing w:after="60"/>
      </w:pPr>
      <w:r>
        <w:t xml:space="preserve">Directed FinOps initiatives, developing hybrid-cloud cost optimization strategies and dashboards that demonstrated substantial savings and proactive budget management for enterprise clients.</w:t>
      </w:r>
    </w:p>
    <w:p>
      <w:pPr>
        <w:pStyle w:val="ListParagraph"/>
        <w:numPr>
          <w:ilvl w:val="0"/>
          <w:numId w:val="1"/>
        </w:numPr>
        <w:spacing w:after="60"/>
      </w:pPr>
      <w:r>
        <w:t xml:space="preserve">Cultivated strategic relationships with global leadership across US, LatAm, Europe, and APAC to deliver high-impact platform modernization and GenAI adoption roadmaps.</w:t>
      </w:r>
    </w:p>
    <w:p>
      <w:pPr>
        <w:pStyle w:val="ListParagraph"/>
        <w:numPr>
          <w:ilvl w:val="0"/>
          <w:numId w:val="1"/>
        </w:numPr>
        <w:spacing w:after="60"/>
      </w:pPr>
      <w:r>
        <w:t xml:space="preserve">## **Kyndryl Solutions Pvt. Ltd. — Associate Director**</w:t>
      </w:r>
    </w:p>
    <w:p>
      <w:pPr>
        <w:pStyle w:val="ListParagraph"/>
        <w:numPr>
          <w:ilvl w:val="0"/>
          <w:numId w:val="1"/>
        </w:numPr>
        <w:spacing w:after="60"/>
      </w:pPr>
      <w:r>
        <w:t xml:space="preserve">**Sep 2021 – Aug 2024**</w:t>
      </w:r>
    </w:p>
    <w:p>
      <w:pPr>
        <w:pStyle w:val="ListParagraph"/>
        <w:numPr>
          <w:ilvl w:val="0"/>
          <w:numId w:val="1"/>
        </w:numPr>
        <w:spacing w:after="60"/>
      </w:pPr>
      <w:r>
        <w:t xml:space="preserve">**Role:** Head – Global Service Reliability Engineering &amp; Platform Operations</w:t>
      </w:r>
    </w:p>
    <w:p>
      <w:pPr>
        <w:pStyle w:val="ListParagraph"/>
        <w:numPr>
          <w:ilvl w:val="0"/>
          <w:numId w:val="1"/>
        </w:numPr>
        <w:spacing w:after="60"/>
      </w:pPr>
      <w:r>
        <w:t xml:space="preserve">Spearheaded global Service Reliability Engineering and Platform Operations for mission-critical data center portfolios, overseeing **100,000+ physical IT assets** and ensuring enterprise-scale reliability and capacity management.</w:t>
      </w:r>
    </w:p>
    <w:p>
      <w:pPr>
        <w:pStyle w:val="ListParagraph"/>
        <w:numPr>
          <w:ilvl w:val="0"/>
          <w:numId w:val="1"/>
        </w:numPr>
        <w:spacing w:after="60"/>
      </w:pPr>
      <w:r>
        <w:t xml:space="preserve">Championed Cloud &amp; DevOps enablement, including strategic AWS migrations and the development of an Agentic AI system for autonomous response to AIOps insights, significantly enhancing operational agility.</w:t>
      </w:r>
    </w:p>
    <w:p>
      <w:pPr>
        <w:pStyle w:val="ListParagraph"/>
        <w:numPr>
          <w:ilvl w:val="0"/>
          <w:numId w:val="1"/>
        </w:numPr>
        <w:spacing w:after="60"/>
      </w:pPr>
      <w:r>
        <w:t xml:space="preserve">Directed a **$30M+ vendor displacement program**, successfully insourcing critical infrastructure services, improving control, reducing dependencies, and establishing robust MLOps practices for AI-driven operations.</w:t>
      </w:r>
    </w:p>
    <w:p>
      <w:pPr>
        <w:pStyle w:val="ListParagraph"/>
        <w:numPr>
          <w:ilvl w:val="0"/>
          <w:numId w:val="1"/>
        </w:numPr>
        <w:spacing w:after="60"/>
      </w:pPr>
      <w:r>
        <w:t xml:space="preserve">Led and mentored a globally distributed engineering team, fostering continuous improvement, engineering excellence, and operational maturity across complex hybrid environments.</w:t>
      </w:r>
    </w:p>
    <w:p>
      <w:pPr>
        <w:pStyle w:val="ListParagraph"/>
        <w:numPr>
          <w:ilvl w:val="0"/>
          <w:numId w:val="1"/>
        </w:numPr>
        <w:spacing w:after="60"/>
      </w:pPr>
      <w:r>
        <w:t xml:space="preserve">## **IBM India Pvt. Ltd. — Global Process Owner**</w:t>
      </w:r>
    </w:p>
    <w:p>
      <w:pPr>
        <w:pStyle w:val="ListParagraph"/>
        <w:numPr>
          <w:ilvl w:val="0"/>
          <w:numId w:val="1"/>
        </w:numPr>
        <w:spacing w:after="60"/>
      </w:pPr>
      <w:r>
        <w:t xml:space="preserve">**Jan 2014 – Aug 2021**</w:t>
      </w:r>
    </w:p>
    <w:p>
      <w:pPr>
        <w:pStyle w:val="ListParagraph"/>
        <w:numPr>
          <w:ilvl w:val="0"/>
          <w:numId w:val="1"/>
        </w:numPr>
        <w:spacing w:after="60"/>
      </w:pPr>
      <w:r>
        <w:t xml:space="preserve">**Role:** Director-Equivalent – ITSM &amp; Capacity Management</w:t>
      </w:r>
    </w:p>
    <w:p>
      <w:pPr>
        <w:pStyle w:val="ListParagraph"/>
        <w:numPr>
          <w:ilvl w:val="0"/>
          <w:numId w:val="1"/>
        </w:numPr>
        <w:spacing w:after="60"/>
      </w:pPr>
      <w:r>
        <w:t xml:space="preserve">Managed a **$25M annual OPEX budget**, achieving **$8M in savings** through strategic automation, vendor renegotiation, and license optimization across global operations.</w:t>
      </w:r>
    </w:p>
    <w:p>
      <w:pPr>
        <w:pStyle w:val="ListParagraph"/>
        <w:numPr>
          <w:ilvl w:val="0"/>
          <w:numId w:val="1"/>
        </w:numPr>
        <w:spacing w:after="60"/>
      </w:pPr>
      <w:r>
        <w:t xml:space="preserve">Provided global delivery leadership for complex, large-scale service engagements (e.g., Scotiabank), ensuring consistent ITSM and capacity management frameworks internationally.</w:t>
      </w:r>
    </w:p>
    <w:p>
      <w:pPr>
        <w:pStyle w:val="ListParagraph"/>
        <w:numPr>
          <w:ilvl w:val="0"/>
          <w:numId w:val="1"/>
        </w:numPr>
        <w:spacing w:after="60"/>
      </w:pPr>
      <w:r>
        <w:t xml:space="preserve">Built and scaled the Capacity Management Center of Excellence from **10 to 250 members** across 5 countries, establishing global standards and best practices for ITIL-based capacity management.</w:t>
      </w:r>
    </w:p>
    <w:p>
      <w:pPr>
        <w:pStyle w:val="ListParagraph"/>
        <w:numPr>
          <w:ilvl w:val="0"/>
          <w:numId w:val="1"/>
        </w:numPr>
        <w:spacing w:after="60"/>
      </w:pPr>
      <w:r>
        <w:t xml:space="preserve">Integrated AI-driven insights to modernize contact center operations, accelerating response times and enhancing service delivery effectiveness.</w:t>
      </w:r>
    </w:p>
    <w:p>
      <w:pPr>
        <w:pStyle w:val="ListParagraph"/>
        <w:numPr>
          <w:ilvl w:val="0"/>
          <w:numId w:val="1"/>
        </w:numPr>
        <w:spacing w:after="60"/>
      </w:pPr>
      <w:r>
        <w:t xml:space="preserve">## **Wipro Technologies — Senior Consultant**</w:t>
      </w:r>
    </w:p>
    <w:p>
      <w:pPr>
        <w:pStyle w:val="ListParagraph"/>
        <w:numPr>
          <w:ilvl w:val="0"/>
          <w:numId w:val="1"/>
        </w:numPr>
        <w:spacing w:after="60"/>
      </w:pPr>
      <w:r>
        <w:t xml:space="preserve">**Jun 2010 – Nov 2013**</w:t>
      </w:r>
    </w:p>
    <w:p>
      <w:pPr>
        <w:pStyle w:val="ListParagraph"/>
        <w:numPr>
          <w:ilvl w:val="0"/>
          <w:numId w:val="1"/>
        </w:numPr>
        <w:spacing w:after="60"/>
      </w:pPr>
      <w:r>
        <w:t xml:space="preserve">**Role:** ITSM &amp; Automation Leader</w:t>
      </w:r>
    </w:p>
    <w:p>
      <w:pPr>
        <w:pStyle w:val="ListParagraph"/>
        <w:numPr>
          <w:ilvl w:val="0"/>
          <w:numId w:val="1"/>
        </w:numPr>
        <w:spacing w:after="60"/>
      </w:pPr>
      <w:r>
        <w:t xml:space="preserve">Delivered ITSM consulting and automation strategies for major telecom and BFSI clients, driving significant improvements in service delivery speed and quality.</w:t>
      </w:r>
    </w:p>
    <w:p>
      <w:pPr>
        <w:pStyle w:val="ListParagraph"/>
        <w:numPr>
          <w:ilvl w:val="0"/>
          <w:numId w:val="1"/>
        </w:numPr>
        <w:spacing w:after="60"/>
      </w:pPr>
      <w:r>
        <w:t xml:space="preserve">Introduced Standard Operating Procedures (SOPs) and performance dashboards that enhanced delivery speed and quality across managed services.</w:t>
      </w:r>
    </w:p>
    <w:p>
      <w:pPr>
        <w:pStyle w:val="ListParagraph"/>
        <w:numPr>
          <w:ilvl w:val="0"/>
          <w:numId w:val="1"/>
        </w:numPr>
        <w:spacing w:after="60"/>
      </w:pPr>
      <w:r>
        <w:t xml:space="preserve">Drove Root Cause Analysis (RCA), implemented risk-controlled changes, chaired Change Advisory Boards (CABs), and ensured robust governance for Problem and Change Management processes.</w:t>
      </w:r>
    </w:p>
    <w:p>
      <w:pPr>
        <w:pStyle w:val="ListParagraph"/>
        <w:numPr>
          <w:ilvl w:val="0"/>
          <w:numId w:val="1"/>
        </w:numPr>
        <w:spacing w:after="60"/>
      </w:pPr>
      <w:r>
        <w:t xml:space="preserve">Conducted ITIL assessments and implemented tailored frameworks to enhance compliance, operational efficiency, and service maturity.</w:t>
      </w:r>
    </w:p>
    <w:p>
      <w:pPr>
        <w:pStyle w:val="ListParagraph"/>
        <w:numPr>
          <w:ilvl w:val="0"/>
          <w:numId w:val="1"/>
        </w:numPr>
        <w:spacing w:after="60"/>
      </w:pPr>
      <w:r>
        <w:t xml:space="preserve">## **Tech Mahindra Ltd. — Senior Technical Associate**</w:t>
      </w:r>
    </w:p>
    <w:p>
      <w:pPr>
        <w:pStyle w:val="ListParagraph"/>
        <w:numPr>
          <w:ilvl w:val="0"/>
          <w:numId w:val="1"/>
        </w:numPr>
        <w:spacing w:after="60"/>
      </w:pPr>
      <w:r>
        <w:t xml:space="preserve">**Oct 2006 – May 2010**</w:t>
      </w:r>
    </w:p>
    <w:p>
      <w:pPr>
        <w:pStyle w:val="ListParagraph"/>
        <w:numPr>
          <w:ilvl w:val="0"/>
          <w:numId w:val="1"/>
        </w:numPr>
        <w:spacing w:after="60"/>
      </w:pPr>
      <w:r>
        <w:t xml:space="preserve">**Role:** Lead – Infrastructure &amp; Monitoring Solutions</w:t>
      </w:r>
    </w:p>
    <w:p>
      <w:pPr>
        <w:pStyle w:val="ListParagraph"/>
        <w:numPr>
          <w:ilvl w:val="0"/>
          <w:numId w:val="1"/>
        </w:numPr>
        <w:spacing w:after="60"/>
      </w:pPr>
      <w:r>
        <w:t xml:space="preserve">Deployed enterprise monitoring tools (Nagios, Zabbix, HP OpenView), establishing comprehensive infrastructure visibility for major clients.</w:t>
      </w:r>
    </w:p>
    <w:p>
      <w:pPr>
        <w:pStyle w:val="ListParagraph"/>
        <w:numPr>
          <w:ilvl w:val="0"/>
          <w:numId w:val="1"/>
        </w:numPr>
        <w:spacing w:after="60"/>
      </w:pPr>
      <w:r>
        <w:t xml:space="preserve">Managed major release deployments for British Telecom with minimal disruption, demonstrating strong command of change management and operational readiness.</w:t>
      </w:r>
    </w:p>
    <w:p>
      <w:pPr>
        <w:pStyle w:val="ListParagraph"/>
        <w:numPr>
          <w:ilvl w:val="0"/>
          <w:numId w:val="1"/>
        </w:numPr>
        <w:spacing w:after="60"/>
      </w:pPr>
      <w:r>
        <w:t xml:space="preserve">Led application support for NHS UK, ensuring timely issue resolution and high availability for critical healthcare platforms.</w:t>
      </w:r>
    </w:p>
    <w:p>
      <w:pPr>
        <w:pStyle w:val="ListParagraph"/>
        <w:numPr>
          <w:ilvl w:val="0"/>
          <w:numId w:val="1"/>
        </w:numPr>
        <w:spacing w:after="60"/>
      </w:pPr>
      <w:r>
        <w:t xml:space="preserve">## **Mainstay Teleservices — Sr. 2nd Line Specialist**</w:t>
      </w:r>
    </w:p>
    <w:p>
      <w:pPr>
        <w:pStyle w:val="ListParagraph"/>
        <w:numPr>
          <w:ilvl w:val="0"/>
          <w:numId w:val="1"/>
        </w:numPr>
        <w:spacing w:after="60"/>
      </w:pPr>
      <w:r>
        <w:t xml:space="preserve">**Mar 2003 – Oct 2006**</w:t>
      </w:r>
    </w:p>
    <w:p>
      <w:pPr>
        <w:pStyle w:val="ListParagraph"/>
        <w:numPr>
          <w:ilvl w:val="0"/>
          <w:numId w:val="1"/>
        </w:numPr>
        <w:spacing w:after="60"/>
      </w:pPr>
      <w:r>
        <w:t xml:space="preserve">**Role:** Technical SME &amp; Support Escalation Lead</w:t>
      </w:r>
    </w:p>
    <w:p>
      <w:pPr>
        <w:pStyle w:val="ListParagraph"/>
        <w:numPr>
          <w:ilvl w:val="0"/>
          <w:numId w:val="1"/>
        </w:numPr>
        <w:spacing w:after="60"/>
      </w:pPr>
      <w:r>
        <w:t xml:space="preserve">Served as Technical Subject Matter Expert and Support Escalation Lead, handling high-impact incidents and supporting mission-critical telecom systems.</w:t>
      </w:r>
    </w:p>
    <w:p>
      <w:pPr>
        <w:pStyle w:val="ListParagraph"/>
        <w:numPr>
          <w:ilvl w:val="0"/>
          <w:numId w:val="1"/>
        </w:numPr>
        <w:spacing w:after="60"/>
      </w:pPr>
      <w:r>
        <w:t xml:space="preserve">Reduced system downtime through rapid issue resolution, advanced troubleshooting, and effective root cause analysis.</w:t>
      </w:r>
    </w:p>
    <w:p>
      <w:pPr>
        <w:pStyle w:val="ListParagraph"/>
        <w:numPr>
          <w:ilvl w:val="0"/>
          <w:numId w:val="1"/>
        </w:numPr>
        <w:spacing w:after="60"/>
      </w:pPr>
      <w:r>
        <w:t xml:space="preserve">Trained L1/L2 engineers and authored comprehensive SOP documentation, significantly improving team capabilities and service consistency.</w:t>
      </w:r>
    </w:p>
    <w:p>
      <w:pPr>
        <w:spacing w:before="200" w:after="100"/>
      </w:pPr>
      <w:r>
        <w:rPr>
          <w:b/>
          <w:bCs/>
          <w:sz w:val="26"/>
          <w:szCs w:val="26"/>
          <w:caps/>
          <w:rFonts w:ascii="Calibri" w:cs="Calibri" w:eastAsia="Calibri" w:hAnsi="Calibri"/>
        </w:rPr>
        <w:t xml:space="preserve">PROJECTS</w:t>
      </w:r>
    </w:p>
    <w:p>
      <w:pPr>
        <w:spacing w:after="80"/>
      </w:pPr>
      <w:r>
        <w:rPr>
          <w:sz w:val="22"/>
          <w:szCs w:val="22"/>
          <w:rFonts w:ascii="Calibri" w:cs="Calibri" w:eastAsia="Calibri" w:hAnsi="Calibri"/>
        </w:rPr>
        <w:t xml:space="preserve">**Ready4Industry: Enterprise GenAI Automation Platform**</w:t>
      </w:r>
    </w:p>
    <w:p>
      <w:pPr>
        <w:spacing w:after="80"/>
      </w:pPr>
      <w:r>
        <w:rPr>
          <w:sz w:val="22"/>
          <w:szCs w:val="22"/>
          <w:rFonts w:ascii="Calibri" w:cs="Calibri" w:eastAsia="Calibri" w:hAnsi="Calibri"/>
        </w:rPr>
        <w:t xml:space="preserve">Led the architecture and development of an enterprise-grade Generative AI platform designed to automate complex workflows and enhance decision-making in financial services. Integrated advanced LLM orchestration, Retrieval-Augmented Generation (RAG), and agentic systems to deliver industry-specific solutions, balancing innovation with compliance and security for regulated environments.</w:t>
      </w:r>
    </w:p>
    <w:p>
      <w:pPr>
        <w:spacing w:after="80"/>
      </w:pPr>
      <w:r>
        <w:rPr>
          <w:sz w:val="22"/>
          <w:szCs w:val="22"/>
          <w:rFonts w:ascii="Calibri" w:cs="Calibri" w:eastAsia="Calibri" w:hAnsi="Calibri"/>
        </w:rPr>
        <w:t xml:space="preserve">**Ready4Exam: Advanced AI-driven Knowledge Retrieval System**</w:t>
      </w:r>
    </w:p>
    <w:p>
      <w:pPr>
        <w:spacing w:after="80"/>
      </w:pPr>
      <w:r>
        <w:rPr>
          <w:sz w:val="22"/>
          <w:szCs w:val="22"/>
          <w:rFonts w:ascii="Calibri" w:cs="Calibri" w:eastAsia="Calibri" w:hAnsi="Calibri"/>
        </w:rPr>
        <w:t xml:space="preserve">Designed and implemented an AI-driven knowledge retrieval system, leveraging fine-tuned LLMs and vector embeddings to process and synthesize vast datasets for complex problem-solving scenarios. Optimized inference, ensured data privacy, and evaluated model accuracy, showcasing expertise in advanced AI engineering and responsible AI practices.</w:t>
      </w:r>
    </w:p>
    <w:p>
      <w:pPr>
        <w:spacing w:before="200" w:after="100"/>
      </w:pPr>
      <w:r>
        <w:rPr>
          <w:b/>
          <w:bCs/>
          <w:sz w:val="26"/>
          <w:szCs w:val="26"/>
          <w:caps/>
          <w:rFonts w:ascii="Calibri" w:cs="Calibri" w:eastAsia="Calibri" w:hAnsi="Calibri"/>
        </w:rPr>
        <w:t xml:space="preserve">TECHNICAL SKILLS</w:t>
      </w:r>
    </w:p>
    <w:p>
      <w:pPr>
        <w:spacing w:after="80"/>
      </w:pPr>
      <w:r>
        <w:rPr>
          <w:sz w:val="22"/>
          <w:szCs w:val="22"/>
          <w:rFonts w:ascii="Calibri" w:cs="Calibri" w:eastAsia="Calibri" w:hAnsi="Calibri"/>
        </w:rPr>
        <w:t xml:space="preserve">Cloud &amp; FinOps: Azure, AWS, GCP, Cloud FinOps Platforms (CoreStack, Flexera, Apptio), Cost Management, Budgeting</w:t>
      </w:r>
    </w:p>
    <w:p>
      <w:pPr>
        <w:spacing w:after="80"/>
      </w:pPr>
      <w:r>
        <w:rPr>
          <w:sz w:val="22"/>
          <w:szCs w:val="22"/>
          <w:rFonts w:ascii="Calibri" w:cs="Calibri" w:eastAsia="Calibri" w:hAnsi="Calibri"/>
        </w:rPr>
        <w:t xml:space="preserve">AI/ML/GenAI: LLM Orchestration, RAG Architectures, Agentic Systems, MLOps Platforms, Model Evaluation Frameworks, Prompt Management, Responsible AI Tooling</w:t>
      </w:r>
    </w:p>
    <w:p>
      <w:pPr>
        <w:spacing w:after="80"/>
      </w:pPr>
      <w:r>
        <w:rPr>
          <w:sz w:val="22"/>
          <w:szCs w:val="22"/>
          <w:rFonts w:ascii="Calibri" w:cs="Calibri" w:eastAsia="Calibri" w:hAnsi="Calibri"/>
        </w:rPr>
        <w:t xml:space="preserve">Monitoring &amp; Observability: Datadog, New Relic, Prometheus, Grafana, ScienceLogic, AIOps Platforms, Distributed Tracing, Telemetry Correlation</w:t>
      </w:r>
    </w:p>
    <w:p>
      <w:pPr>
        <w:spacing w:after="80"/>
      </w:pPr>
      <w:r>
        <w:rPr>
          <w:sz w:val="22"/>
          <w:szCs w:val="22"/>
          <w:rFonts w:ascii="Calibri" w:cs="Calibri" w:eastAsia="Calibri" w:hAnsi="Calibri"/>
        </w:rPr>
        <w:t xml:space="preserve">ITSM &amp; Automation: ServiceNow, Jira Service Management, Ansible, Python, JavaScript, Shell Scripting, CI/CD (GitHub Actions)</w:t>
      </w:r>
    </w:p>
    <w:p>
      <w:pPr>
        <w:spacing w:after="80"/>
      </w:pPr>
      <w:r>
        <w:rPr>
          <w:sz w:val="22"/>
          <w:szCs w:val="22"/>
          <w:rFonts w:ascii="Calibri" w:cs="Calibri" w:eastAsia="Calibri" w:hAnsi="Calibri"/>
        </w:rPr>
        <w:t xml:space="preserve">Architecture: Microservices, Kubernetes, APIs, Cloud-Native Design, Enterprise SaaS Architectures</w:t>
      </w:r>
    </w:p>
    <w:p>
      <w:pPr>
        <w:spacing w:after="80"/>
      </w:pPr>
      <w:r>
        <w:rPr>
          <w:sz w:val="22"/>
          <w:szCs w:val="22"/>
          <w:rFonts w:ascii="Calibri" w:cs="Calibri" w:eastAsia="Calibri" w:hAnsi="Calibri"/>
        </w:rPr>
        <w:t xml:space="preserve">Data &amp; Analytics: Power BI, MS Visio, Data Pipelines, ETL</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pPr>
      <w:r>
        <w:t xml:space="preserve">Post Graduate Programme in Project Management – IIT Roorkee, 2025</w:t>
      </w:r>
    </w:p>
    <w:p>
      <w:pPr>
        <w:pStyle w:val="ListParagraph"/>
        <w:numPr>
          <w:ilvl w:val="0"/>
          <w:numId w:val="1"/>
        </w:numPr>
      </w:pPr>
      <w:r>
        <w:t xml:space="preserve">Master’s in Information Technology – Manipal Academy of Higher Education, 2002</w:t>
      </w:r>
    </w:p>
    <w:p>
      <w:pPr>
        <w:pStyle w:val="ListParagraph"/>
        <w:numPr>
          <w:ilvl w:val="0"/>
          <w:numId w:val="1"/>
        </w:numPr>
      </w:pPr>
      <w:r>
        <w:t xml:space="preserve">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2025-12-12T13:21:25.407Z</dcterms:created>
  <dcterms:modified xsi:type="dcterms:W3CDTF">2025-12-12T13:21:25.407Z</dcterms:modified>
</cp:coreProperties>
</file>

<file path=docProps/custom.xml><?xml version="1.0" encoding="utf-8"?>
<Properties xmlns="http://schemas.openxmlformats.org/officeDocument/2006/custom-properties" xmlns:vt="http://schemas.openxmlformats.org/officeDocument/2006/docPropsVTypes"/>
</file>