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Visionary technology executive with 21+ years of global leadership in architecting and delivering enterprise-scale technology services and operational transformations. Proven acumen in forging strategic client partnerships, driving platform modernization initiatives, and championing advanced AI/automation strategies to enhance service delivery excellence. Directs complex, multi-client engagements, ensuring robust SLA governance, accelerated incident resolution, and impactful executive communications. Expert in building, scaling, and mentoring high-performing global teams, optimizing delivery performance, and embedding continuous improvement frameworks. Poised to lead strategic ServiceNow delivery and foster significant client success as Delivery Head at Aelum Consulting.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Strategic Leadership | ServiceNow Program Delivery | Client &amp; Stakeholder Management | Incident &amp; Escalation Management | SLA &amp; KPI Governance | Executive Reporting &amp; Communication | Team Leadership &amp; Mentoring | Process Improvement &amp; Governance | Budget &amp; Resource Optimization | Multi-Engagement Oversight | Platform Modernization | AI &amp; Automation Strategy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strategic ITSM advisory engagements for global enterprise clients, integrating advanced governance models to elevate service maturity.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an AI-driven automation framework to proactively reduce recurring incidents by 60%, enhancing service reliability across client portfolios.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FinOps initiatives, developing cost optimization dashboards and accelerators for hybrid-cloud environments, aligning with budget oversight.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Cultivated strategic relationships with global leadership to champion and deliver enterprise-wide platform modernization roadmaps.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Oversaw global technology service delivery for large-scale mission-critical portfolios, enhancing reliability and capacity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$30M+ vendor displacement program, insourcing critical infrastructure services to improve operational agility and reduce external dependencies.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Cloud &amp; DevOps enablement, including AWS migrations and developing an Agentic AI system for autonomous response to AIOps insights.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global operations for 100,000+ IT assets, consistently achieving high availability and performance targets across the service portfolio.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$25M annual OPEX, realizing $8M savings through automation, vendor renegotiation, and license optimization initiatives.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complex enterprise service engagements, ensuring consistent execution across diverse global centers.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the Capacity Management Center of Excellence from 10 to 250 members across 5 countries, fostering team growth and capability.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global ITIL-based frameworks for comprehensive capacity management, significantly elevating operational governance.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contact center operations through AI-driven insights, significantly accelerating response times and improving service delivery.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and automation strategies for major telecom and BFSI customers, enhancing service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standardized operational procedures and performance dashboards, driving significant improvements in service delivery speed and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Problem and Change Management, driving root cause analysis, implementing risk-controlled changes, and ensuring governance through CAB leadership.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Guided clients through ITIL assessments and framework implementations, enhancing compliance and operational efficiency.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and deployed enterprise monitoring solutions, significantly improving infrastructure visibility and proactive issue detection.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major release deployments for critical systems, ensuring minimal disruption and adherence to change management protocols.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application support for critical healthcare platforms, ensuring timely issue resolution and maintaining service continuity.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Handled high-impact escalations and provided critical support for mission-critical telecom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Reduced system downtime through rapid issue resolution and effective troubleshooting techniques.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Mentored L1/L2 engineers and developed standard operating procedure (SOP) documentation to enhance support capabilities.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ServiceNow Ecosystem: ServiceNow, Jira Service Management, ITSM Tools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FinOps: Azure, AWS, GCP, Hybrid Cloud Cost Optimization, FinOps Platforms</w:t>
      </w:r>
    </w:p>
    <w:p>
      <w:r>
        <w:rPr>
          <w:sz w:val="22"/>
          <w:szCs w:val="22"/>
          <w:rFonts w:ascii="Calibri" w:cs="Calibri" w:eastAsia="Calibri" w:hAnsi="Calibri"/>
        </w:rPr>
        <w:t xml:space="preserve">SRE &amp; Observability: Enterprise Observability (Datadog, New Relic), Distributed Tracing, SLO-based Monitoring</w:t>
      </w:r>
    </w:p>
    <w:p>
      <w:r>
        <w:rPr>
          <w:sz w:val="22"/>
          <w:szCs w:val="22"/>
          <w:rFonts w:ascii="Calibri" w:cs="Calibri" w:eastAsia="Calibri" w:hAnsi="Calibri"/>
        </w:rPr>
        <w:t xml:space="preserve">Automation &amp; DevOps: API-driven Automation, Workflow Orchestration, CI/CD, Infrastructure-as-Code (IaC)</w:t>
      </w:r>
    </w:p>
    <w:p>
      <w:r>
        <w:rPr>
          <w:sz w:val="22"/>
          <w:szCs w:val="22"/>
          <w:rFonts w:ascii="Calibri" w:cs="Calibri" w:eastAsia="Calibri" w:hAnsi="Calibri"/>
        </w:rPr>
        <w:t xml:space="preserve">AI &amp; Data Intelligence: AI/ML Integration, Decision Intelligence, Power BI, Service Health Analytics</w:t>
      </w:r>
    </w:p>
    <w:p>
      <w:r>
        <w:rPr>
          <w:sz w:val="22"/>
          <w:szCs w:val="22"/>
          <w:rFonts w:ascii="Calibri" w:cs="Calibri" w:eastAsia="Calibri" w:hAnsi="Calibri"/>
        </w:rPr>
        <w:t xml:space="preserve">Programming: Python, Shell Scripting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2025-12-23T00:19:29.669Z</dcterms:created>
  <dcterms:modified xsi:type="dcterms:W3CDTF">2025-12-23T00:19:29.670Z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