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 highly accomplished IT executive with 21+ years of global leadership, recognized for transforming enterprise technology operations, spearheading strategic growth, and delivering complex programs across diverse models. Drives significant P&amp;L success, cultivates robust customer and stakeholder relationships, and leads high-impact presales and business development initiatives. Adept at building and scaling high-performance global engineering teams, collaborating with senior leadership to shape market strategy and capitalize on new business opportunities. Poised to accelerate strategic growth and operational excellence as a Delivery Director at TARGET_COMPANY.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Financial Management &amp; P&amp;L Oversight | Global Service Delivery | Customer &amp; Stakeholder Engagement | High-Performance Team Leadership | IT Strategy &amp; Technology Modernization | Presales &amp; Business Development | ITSM &amp; Operational Process Governance | Program &amp; Project Management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strategic ITSM assessments and advisory engagements for enterprise healthcare and BFSI clients, ensuring alignment with NIST and ITIL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AI-driven automation framework, reducing repeat failures by 60% and improving critical service reliability across global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FinOps strategy and implementation, developing hybrid-cloud cost dashboards and accelerators that drove proactive budget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Cultivated strong relationships with global leadership across US, LatAm, Europe, and APAC to deliver comprehensive platform modernization roadmaps.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technology service delivery for large-scale, mission-critical data center portfolios, significantly enhancing reliability and capacity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vendor displacement program, successfully insourcing critical infrastructure services to improve organizational agility and reduce external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enablement, including strategic AWS migrations and the development of an Agentic AI system for autonomous AIOps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enterprise operations for over 100,000 physical IT assets, ensuring high availability and performance across diverse client environments.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generating $8M in savings through strategic automation, vendor renegotiation, and license optimization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complex, multi-country service engagements, ensuring consistent operational excellence and client satisfaction.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establishing global expertise.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ITIL-based frameworks, significantly enhancing end-to-end capacity management and service efficiency globally.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AI-driven insights, accelerating response times and elevating customer satisfaction.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strategic ITSM consulting and automation strategies for major telecom and BFSI customers, driving operational improvements.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Introduced standardized operating procedures and performance dashboards, significantly improving delivery speed and quality across service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Management, driving root cause analysis, implementing risk-controlled changes, and ensuring robust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ITIL assessments and implemented tailored frameworks to enhance compliance and operational efficiency for key clients.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release deployments for British Telecom, ensuring minimal disruption and seamless transitions.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NHS UK, ensuring timely resolution of issues across critical healthcare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maintained enterprise monitoring tools, significantly contributing to operational stability.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high-impact escalations and provided critical support for mission-critical telecom systems, ensuring continuous service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system downtime through rapid issue resolution and effective troubleshooting techniques, improving service continuity.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Trained L1/L2 engineers and authored comprehensive SOP documentation, enhancing support processes and team capabilities.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FinOps: Azure Monitor, CloudWatch, Grafana, CoreStack, ECAM, Flexera</w:t>
      </w:r>
    </w:p>
    <w:p>
      <w:r>
        <w:rPr>
          <w:sz w:val="22"/>
          <w:szCs w:val="22"/>
          <w:rFonts w:ascii="Calibri" w:cs="Calibri" w:eastAsia="Calibri" w:hAnsi="Calibri"/>
        </w:rPr>
        <w:t xml:space="preserve">Monitoring: ScienceLogic, Datadog, New Relic, Prometheus, Tanzu</w:t>
      </w:r>
    </w:p>
    <w:p>
      <w:r>
        <w:rPr>
          <w:sz w:val="22"/>
          <w:szCs w:val="22"/>
          <w:rFonts w:ascii="Calibri" w:cs="Calibri" w:eastAsia="Calibri" w:hAnsi="Calibri"/>
        </w:rPr>
        <w:t xml:space="preserve">ITSM Tools: ServiceNow, Remedy, Jira Service Management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Infrastructure: Ansible, VMware Tanzu, HP OpenView, SolarWinds, Zabbix</w:t>
      </w:r>
    </w:p>
    <w:p>
      <w:r>
        <w:rPr>
          <w:sz w:val="22"/>
          <w:szCs w:val="22"/>
          <w:rFonts w:ascii="Calibri" w:cs="Calibri" w:eastAsia="Calibri" w:hAnsi="Calibri"/>
        </w:rPr>
        <w:t xml:space="preserve">BI &amp; Modeling: Power BI, MS Visio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2026-01-03T14:30:22.533Z</dcterms:created>
  <dcterms:modified xsi:type="dcterms:W3CDTF">2026-01-03T14:30:22.533Z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