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D92" w:rsidRPr="00A2507E" w:rsidRDefault="00B23F7D" w:rsidP="005C4299">
      <w:pPr>
        <w:pStyle w:val="aa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A2507E">
        <w:rPr>
          <w:rFonts w:ascii="標楷體" w:eastAsia="標楷體" w:hAnsi="標楷體" w:hint="eastAsia"/>
          <w:b/>
        </w:rPr>
        <w:t>福特探險家(</w:t>
      </w:r>
      <w:r w:rsidRPr="00A2507E">
        <w:rPr>
          <w:rFonts w:ascii="標楷體" w:eastAsia="標楷體" w:hAnsi="標楷體"/>
          <w:b/>
        </w:rPr>
        <w:t>Ford Explorer)</w:t>
      </w:r>
      <w:r w:rsidR="00E21969" w:rsidRPr="00A2507E">
        <w:rPr>
          <w:rFonts w:ascii="標楷體" w:eastAsia="標楷體" w:hAnsi="標楷體" w:hint="eastAsia"/>
          <w:b/>
        </w:rPr>
        <w:t>與凡士通</w:t>
      </w:r>
      <w:r w:rsidRPr="00A2507E">
        <w:rPr>
          <w:rFonts w:ascii="標楷體" w:eastAsia="標楷體" w:hAnsi="標楷體" w:hint="eastAsia"/>
          <w:b/>
        </w:rPr>
        <w:t>(</w:t>
      </w:r>
      <w:r w:rsidRPr="00A2507E">
        <w:rPr>
          <w:rFonts w:ascii="標楷體" w:eastAsia="標楷體" w:hAnsi="標楷體"/>
          <w:b/>
        </w:rPr>
        <w:t>firestone)</w:t>
      </w:r>
      <w:r w:rsidRPr="00A2507E">
        <w:rPr>
          <w:rFonts w:ascii="標楷體" w:eastAsia="標楷體" w:hAnsi="標楷體" w:hint="eastAsia"/>
          <w:b/>
        </w:rPr>
        <w:t>事件</w:t>
      </w:r>
    </w:p>
    <w:p w:rsidR="002606C6" w:rsidRDefault="00BC2E83" w:rsidP="00A2507E">
      <w:pPr>
        <w:spacing w:beforeLines="50" w:before="180" w:line="276" w:lineRule="auto"/>
        <w:ind w:firstLineChars="200" w:firstLine="480"/>
        <w:rPr>
          <w:rFonts w:ascii="標楷體" w:eastAsia="標楷體" w:hAnsi="標楷體"/>
        </w:rPr>
      </w:pPr>
      <w:r w:rsidRPr="002C65BE">
        <w:rPr>
          <w:rFonts w:ascii="標楷體" w:eastAsia="標楷體" w:hAnsi="標楷體" w:hint="eastAsia"/>
        </w:rPr>
        <w:t>針對福特探險家與凡士通</w:t>
      </w:r>
      <w:r w:rsidR="002C65BE" w:rsidRPr="002C65BE">
        <w:rPr>
          <w:rFonts w:ascii="標楷體" w:eastAsia="標楷體" w:hAnsi="標楷體" w:hint="eastAsia"/>
        </w:rPr>
        <w:t>輪胎事件個案，我覺得這是</w:t>
      </w:r>
      <w:proofErr w:type="gramStart"/>
      <w:r w:rsidR="002C65BE" w:rsidRPr="002C65BE">
        <w:rPr>
          <w:rFonts w:ascii="標楷體" w:eastAsia="標楷體" w:hAnsi="標楷體" w:hint="eastAsia"/>
        </w:rPr>
        <w:t>攸</w:t>
      </w:r>
      <w:proofErr w:type="gramEnd"/>
      <w:r w:rsidR="002C65BE" w:rsidRPr="002C65BE">
        <w:rPr>
          <w:rFonts w:ascii="標楷體" w:eastAsia="標楷體" w:hAnsi="標楷體" w:hint="eastAsia"/>
        </w:rPr>
        <w:t>關生命的議題。二間公司的危機處理能力</w:t>
      </w:r>
      <w:r w:rsidR="00280AA8">
        <w:rPr>
          <w:rFonts w:ascii="標楷體" w:eastAsia="標楷體" w:hAnsi="標楷體" w:hint="eastAsia"/>
        </w:rPr>
        <w:t>果</w:t>
      </w:r>
      <w:r w:rsidR="002C65BE" w:rsidRPr="002C65BE">
        <w:rPr>
          <w:rFonts w:ascii="標楷體" w:eastAsia="標楷體" w:hAnsi="標楷體" w:hint="eastAsia"/>
        </w:rPr>
        <w:t>然有很大的問題。分別就福特探險家</w:t>
      </w:r>
      <w:r w:rsidR="002C65BE">
        <w:rPr>
          <w:rFonts w:ascii="標楷體" w:eastAsia="標楷體" w:hAnsi="標楷體" w:hint="eastAsia"/>
        </w:rPr>
        <w:t>與</w:t>
      </w:r>
      <w:r w:rsidR="002C65BE" w:rsidRPr="002C65BE">
        <w:rPr>
          <w:rFonts w:ascii="標楷體" w:eastAsia="標楷體" w:hAnsi="標楷體" w:hint="eastAsia"/>
        </w:rPr>
        <w:t>凡士通輪胎</w:t>
      </w:r>
      <w:r w:rsidR="002C65BE">
        <w:rPr>
          <w:rFonts w:ascii="標楷體" w:eastAsia="標楷體" w:hAnsi="標楷體" w:hint="eastAsia"/>
        </w:rPr>
        <w:t>說明</w:t>
      </w:r>
      <w:r w:rsidR="00FA7782">
        <w:rPr>
          <w:rFonts w:ascii="標楷體" w:eastAsia="標楷體" w:hAnsi="標楷體" w:hint="eastAsia"/>
        </w:rPr>
        <w:t>如下</w:t>
      </w:r>
      <w:r w:rsidR="00FA7782">
        <w:rPr>
          <w:rFonts w:ascii="微軟正黑體" w:eastAsia="微軟正黑體" w:hAnsi="微軟正黑體" w:hint="eastAsia"/>
        </w:rPr>
        <w:t>：</w:t>
      </w:r>
    </w:p>
    <w:p w:rsidR="002C65BE" w:rsidRPr="002C65BE" w:rsidRDefault="002C65BE" w:rsidP="00FA7782">
      <w:pPr>
        <w:spacing w:beforeLines="50" w:before="180" w:line="360" w:lineRule="auto"/>
        <w:ind w:firstLineChars="200" w:firstLine="480"/>
        <w:rPr>
          <w:rFonts w:ascii="標楷體" w:eastAsia="標楷體" w:hAnsi="標楷體"/>
        </w:rPr>
      </w:pPr>
      <w:r w:rsidRPr="002C65BE">
        <w:rPr>
          <w:rFonts w:ascii="標楷體" w:eastAsia="標楷體" w:hAnsi="標楷體" w:hint="eastAsia"/>
        </w:rPr>
        <w:t>福特探險家</w:t>
      </w:r>
      <w:r>
        <w:rPr>
          <w:rFonts w:ascii="標楷體" w:eastAsia="標楷體" w:hAnsi="標楷體" w:hint="eastAsia"/>
        </w:rPr>
        <w:t>而言</w:t>
      </w:r>
      <w:r w:rsidRPr="002C65BE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應該立即針對問題車款零件進行召回</w:t>
      </w:r>
      <w:r w:rsidRPr="002C65BE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至少有做到提醒消費者</w:t>
      </w:r>
      <w:r w:rsidRPr="002C65BE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幫消費者做安全把關</w:t>
      </w:r>
      <w:r w:rsidRPr="002C65BE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而不是顧及車款銷售量隱匿事實</w:t>
      </w:r>
      <w:r w:rsidRPr="002C65BE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讓事故不斷重演。如果能在第一時間</w:t>
      </w:r>
      <w:r w:rsidRPr="002C65BE">
        <w:rPr>
          <w:rFonts w:ascii="標楷體" w:eastAsia="標楷體" w:hAnsi="標楷體" w:hint="eastAsia"/>
        </w:rPr>
        <w:t>，召</w:t>
      </w:r>
      <w:r>
        <w:rPr>
          <w:rFonts w:ascii="標楷體" w:eastAsia="標楷體" w:hAnsi="標楷體" w:hint="eastAsia"/>
        </w:rPr>
        <w:t>回問題零件</w:t>
      </w:r>
      <w:r w:rsidRPr="002C65BE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給消費者反而是對車商的信任感</w:t>
      </w:r>
      <w:r w:rsidRPr="002C65BE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在車商的立場</w:t>
      </w:r>
      <w:r w:rsidRPr="002C65BE">
        <w:rPr>
          <w:rFonts w:ascii="標楷體" w:eastAsia="標楷體" w:hAnsi="標楷體" w:hint="eastAsia"/>
        </w:rPr>
        <w:t>，</w:t>
      </w:r>
      <w:r w:rsidR="00384159">
        <w:rPr>
          <w:rFonts w:ascii="標楷體" w:eastAsia="標楷體" w:hAnsi="標楷體" w:hint="eastAsia"/>
        </w:rPr>
        <w:t>需要為消費者安全負責</w:t>
      </w:r>
      <w:r w:rsidR="00384159">
        <w:rPr>
          <w:rFonts w:ascii="新細明體" w:eastAsia="新細明體" w:hAnsi="新細明體" w:hint="eastAsia"/>
        </w:rPr>
        <w:t>，</w:t>
      </w:r>
      <w:r>
        <w:rPr>
          <w:rFonts w:ascii="標楷體" w:eastAsia="標楷體" w:hAnsi="標楷體" w:hint="eastAsia"/>
        </w:rPr>
        <w:t>只要將問題零件更換</w:t>
      </w:r>
      <w:r w:rsidRPr="002C65BE">
        <w:rPr>
          <w:rFonts w:ascii="標楷體" w:eastAsia="標楷體" w:hAnsi="標楷體" w:hint="eastAsia"/>
        </w:rPr>
        <w:t>，對金雞母車款的安全</w:t>
      </w:r>
      <w:r w:rsidR="00384159">
        <w:rPr>
          <w:rFonts w:ascii="標楷體" w:eastAsia="標楷體" w:hAnsi="標楷體" w:hint="eastAsia"/>
        </w:rPr>
        <w:t>性</w:t>
      </w:r>
      <w:r w:rsidRPr="002C65BE">
        <w:rPr>
          <w:rFonts w:ascii="標楷體" w:eastAsia="標楷體" w:hAnsi="標楷體" w:hint="eastAsia"/>
        </w:rPr>
        <w:t>反而是提升</w:t>
      </w:r>
      <w:r w:rsidR="00384159">
        <w:rPr>
          <w:rFonts w:ascii="標楷體" w:eastAsia="標楷體" w:hAnsi="標楷體" w:hint="eastAsia"/>
        </w:rPr>
        <w:t>商品</w:t>
      </w:r>
      <w:r w:rsidRPr="002C65BE">
        <w:rPr>
          <w:rFonts w:ascii="標楷體" w:eastAsia="標楷體" w:hAnsi="標楷體" w:hint="eastAsia"/>
        </w:rPr>
        <w:t>價值。</w:t>
      </w:r>
    </w:p>
    <w:p w:rsidR="002C65BE" w:rsidRDefault="002C65BE" w:rsidP="00FA7782">
      <w:pPr>
        <w:spacing w:beforeLines="50" w:before="180" w:line="360" w:lineRule="auto"/>
        <w:ind w:firstLineChars="200" w:firstLine="480"/>
        <w:rPr>
          <w:rFonts w:ascii="標楷體" w:eastAsia="標楷體" w:hAnsi="標楷體"/>
        </w:rPr>
      </w:pPr>
      <w:r w:rsidRPr="002C65BE">
        <w:rPr>
          <w:rFonts w:ascii="標楷體" w:eastAsia="標楷體" w:hAnsi="標楷體" w:hint="eastAsia"/>
        </w:rPr>
        <w:t>然後對於凡士通輪胎</w:t>
      </w:r>
      <w:r>
        <w:rPr>
          <w:rFonts w:ascii="標楷體" w:eastAsia="標楷體" w:hAnsi="標楷體" w:hint="eastAsia"/>
        </w:rPr>
        <w:t>而言</w:t>
      </w:r>
      <w:r w:rsidRPr="002C65BE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輪胎的安全品質非常重要</w:t>
      </w:r>
      <w:r w:rsidRPr="002C65BE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品質沒有安全把關就出廠</w:t>
      </w:r>
      <w:r w:rsidRPr="002C65BE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對信譽的影響是非常深遠</w:t>
      </w:r>
      <w:r w:rsidRPr="002C65BE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不論是各款品牌車商或消費者</w:t>
      </w:r>
      <w:r w:rsidRPr="002C65BE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都會對問題商品品牌產生疑慮</w:t>
      </w:r>
      <w:r w:rsidRPr="002C65BE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一時間要</w:t>
      </w:r>
      <w:r w:rsidR="00FA7782">
        <w:rPr>
          <w:rFonts w:ascii="標楷體" w:eastAsia="標楷體" w:hAnsi="標楷體" w:hint="eastAsia"/>
        </w:rPr>
        <w:t>改變疑慮</w:t>
      </w:r>
      <w:r>
        <w:rPr>
          <w:rFonts w:ascii="標楷體" w:eastAsia="標楷體" w:hAnsi="標楷體" w:hint="eastAsia"/>
        </w:rPr>
        <w:t>是非常困難</w:t>
      </w:r>
      <w:r w:rsidRPr="002C65BE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就像林鳳營鮮奶之前</w:t>
      </w:r>
      <w:r w:rsidR="00384159">
        <w:rPr>
          <w:rFonts w:ascii="標楷體" w:eastAsia="標楷體" w:hAnsi="標楷體" w:hint="eastAsia"/>
        </w:rPr>
        <w:t>是</w:t>
      </w:r>
      <w:r>
        <w:rPr>
          <w:rFonts w:ascii="標楷體" w:eastAsia="標楷體" w:hAnsi="標楷體" w:hint="eastAsia"/>
        </w:rPr>
        <w:t>非常熱門</w:t>
      </w:r>
      <w:r w:rsidR="00FA7782">
        <w:rPr>
          <w:rFonts w:ascii="標楷體" w:eastAsia="標楷體" w:hAnsi="標楷體" w:hint="eastAsia"/>
        </w:rPr>
        <w:t>商品</w:t>
      </w:r>
      <w:r w:rsidRPr="002C65BE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後來味全食品出了問題</w:t>
      </w:r>
      <w:r w:rsidRPr="002C65BE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連帶對於味全所有商品都失去信心</w:t>
      </w:r>
      <w:r w:rsidR="00FA7782">
        <w:rPr>
          <w:rFonts w:ascii="新細明體" w:eastAsia="新細明體" w:hAnsi="新細明體" w:hint="eastAsia"/>
        </w:rPr>
        <w:t>，</w:t>
      </w:r>
      <w:r w:rsidR="00FA7782">
        <w:rPr>
          <w:rFonts w:ascii="標楷體" w:eastAsia="標楷體" w:hAnsi="標楷體" w:hint="eastAsia"/>
        </w:rPr>
        <w:t>不論日後如何促銷降價</w:t>
      </w:r>
      <w:r w:rsidR="00FA7782">
        <w:rPr>
          <w:rFonts w:ascii="新細明體" w:eastAsia="新細明體" w:hAnsi="新細明體" w:hint="eastAsia"/>
        </w:rPr>
        <w:t>，</w:t>
      </w:r>
      <w:r w:rsidR="00FA7782">
        <w:rPr>
          <w:rFonts w:ascii="標楷體" w:eastAsia="標楷體" w:hAnsi="標楷體" w:hint="eastAsia"/>
        </w:rPr>
        <w:t>都難以挽回消費者信心</w:t>
      </w:r>
      <w:r w:rsidRPr="002C65BE">
        <w:rPr>
          <w:rFonts w:ascii="標楷體" w:eastAsia="標楷體" w:hAnsi="標楷體" w:hint="eastAsia"/>
        </w:rPr>
        <w:t>。</w:t>
      </w:r>
    </w:p>
    <w:p w:rsidR="00384159" w:rsidRDefault="00384159" w:rsidP="00FA7782">
      <w:pPr>
        <w:spacing w:beforeLines="50" w:before="180" w:line="360" w:lineRule="auto"/>
        <w:ind w:firstLineChars="200" w:firstLine="480"/>
        <w:rPr>
          <w:rFonts w:ascii="標楷體" w:eastAsia="標楷體" w:hAnsi="標楷體"/>
        </w:rPr>
      </w:pPr>
    </w:p>
    <w:p w:rsidR="00384159" w:rsidRPr="002C65BE" w:rsidRDefault="00384159" w:rsidP="00FA7782">
      <w:pPr>
        <w:spacing w:beforeLines="50" w:before="180" w:line="360" w:lineRule="auto"/>
        <w:ind w:firstLineChars="200" w:firstLine="480"/>
        <w:rPr>
          <w:rFonts w:ascii="標楷體" w:eastAsia="標楷體" w:hAnsi="標楷體"/>
        </w:rPr>
      </w:pPr>
    </w:p>
    <w:p w:rsidR="00384159" w:rsidRDefault="00384159">
      <w:pPr>
        <w:widowControl/>
        <w:rPr>
          <w:rFonts w:ascii="標楷體" w:eastAsia="標楷體" w:hAnsi="標楷體"/>
          <w:b/>
        </w:rPr>
      </w:pPr>
      <w:r w:rsidRPr="00384159">
        <w:rPr>
          <w:rFonts w:ascii="標楷體" w:eastAsia="標楷體" w:hAnsi="標楷體"/>
          <w:b/>
          <w:noProof/>
        </w:rPr>
        <w:drawing>
          <wp:inline distT="0" distB="0" distL="0" distR="0">
            <wp:extent cx="6107525" cy="2791108"/>
            <wp:effectExtent l="0" t="0" r="7620" b="9525"/>
            <wp:docPr id="1" name="圖片 1" descr="D:\Judy 個人區\NCTU 資管區\02_策略管理\Case Ford &amp; FIRE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dy 個人區\NCTU 資管區\02_策略管理\Case Ford &amp; FIREST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185" cy="279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159">
        <w:rPr>
          <w:rFonts w:ascii="標楷體" w:eastAsia="標楷體" w:hAnsi="標楷體"/>
          <w:b/>
        </w:rPr>
        <w:t xml:space="preserve"> </w:t>
      </w:r>
      <w:r>
        <w:rPr>
          <w:rFonts w:ascii="標楷體" w:eastAsia="標楷體" w:hAnsi="標楷體"/>
          <w:b/>
        </w:rPr>
        <w:br w:type="page"/>
      </w:r>
    </w:p>
    <w:p w:rsidR="00B033D5" w:rsidRPr="00A2507E" w:rsidRDefault="00384159" w:rsidP="00384159">
      <w:pPr>
        <w:pStyle w:val="aa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A2507E">
        <w:rPr>
          <w:rFonts w:ascii="標楷體" w:eastAsia="標楷體" w:hAnsi="標楷體" w:hint="eastAsia"/>
          <w:b/>
        </w:rPr>
        <w:lastRenderedPageBreak/>
        <w:t>強生製藥公司「泰萊諾爾(</w:t>
      </w:r>
      <w:r w:rsidRPr="00A2507E">
        <w:rPr>
          <w:rFonts w:ascii="標楷體" w:eastAsia="標楷體" w:hAnsi="標楷體"/>
          <w:b/>
        </w:rPr>
        <w:t>Tylenol</w:t>
      </w:r>
      <w:r w:rsidRPr="00A2507E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)</w:t>
      </w:r>
      <w:r w:rsidRPr="00A2507E">
        <w:rPr>
          <w:rFonts w:ascii="標楷體" w:eastAsia="標楷體" w:hAnsi="標楷體" w:hint="eastAsia"/>
          <w:b/>
        </w:rPr>
        <w:t>」中毒事</w:t>
      </w:r>
    </w:p>
    <w:p w:rsidR="00B033D5" w:rsidRPr="00AD2927" w:rsidRDefault="00B033D5" w:rsidP="00E12549">
      <w:pPr>
        <w:spacing w:beforeLines="50" w:before="180" w:line="360" w:lineRule="auto"/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對這件事而言</w:t>
      </w:r>
      <w:r w:rsidRPr="00AD2927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強生製藥是因為有人</w:t>
      </w:r>
      <w:r w:rsidRPr="00B033D5">
        <w:rPr>
          <w:rFonts w:ascii="標楷體" w:eastAsia="標楷體" w:hAnsi="標楷體" w:hint="eastAsia"/>
        </w:rPr>
        <w:t>向膠囊中投</w:t>
      </w:r>
      <w:r w:rsidRPr="00AD2927">
        <w:rPr>
          <w:rFonts w:ascii="標楷體" w:eastAsia="標楷體" w:hAnsi="標楷體" w:hint="eastAsia"/>
        </w:rPr>
        <w:t>氰化物</w:t>
      </w:r>
      <w:r>
        <w:rPr>
          <w:rFonts w:ascii="標楷體" w:eastAsia="標楷體" w:hAnsi="標楷體" w:hint="eastAsia"/>
        </w:rPr>
        <w:t>而產生</w:t>
      </w:r>
      <w:r>
        <w:rPr>
          <w:rFonts w:ascii="標楷體" w:eastAsia="標楷體" w:hAnsi="標楷體"/>
        </w:rPr>
        <w:t>7</w:t>
      </w:r>
      <w:r>
        <w:rPr>
          <w:rFonts w:ascii="標楷體" w:eastAsia="標楷體" w:hAnsi="標楷體" w:hint="eastAsia"/>
        </w:rPr>
        <w:t>人</w:t>
      </w:r>
      <w:proofErr w:type="gramStart"/>
      <w:r>
        <w:rPr>
          <w:rFonts w:ascii="標楷體" w:eastAsia="標楷體" w:hAnsi="標楷體" w:hint="eastAsia"/>
        </w:rPr>
        <w:t>中毒生亡</w:t>
      </w:r>
      <w:proofErr w:type="gramEnd"/>
      <w:r w:rsidRPr="00AD2927">
        <w:rPr>
          <w:rFonts w:ascii="標楷體" w:eastAsia="標楷體" w:hAnsi="標楷體" w:hint="eastAsia"/>
        </w:rPr>
        <w:t>。在還不</w:t>
      </w:r>
      <w:r w:rsidR="00AD2927">
        <w:rPr>
          <w:rFonts w:ascii="標楷體" w:eastAsia="標楷體" w:hAnsi="標楷體" w:hint="eastAsia"/>
        </w:rPr>
        <w:t>清楚</w:t>
      </w:r>
      <w:r w:rsidRPr="00AD2927">
        <w:rPr>
          <w:rFonts w:ascii="標楷體" w:eastAsia="標楷體" w:hAnsi="標楷體" w:hint="eastAsia"/>
        </w:rPr>
        <w:t>事件始末時，強生</w:t>
      </w:r>
      <w:r w:rsidR="00AD2927">
        <w:rPr>
          <w:rFonts w:ascii="標楷體" w:eastAsia="標楷體" w:hAnsi="標楷體" w:hint="eastAsia"/>
        </w:rPr>
        <w:t>明快</w:t>
      </w:r>
      <w:r w:rsidRPr="00AD2927">
        <w:rPr>
          <w:rFonts w:ascii="標楷體" w:eastAsia="標楷體" w:hAnsi="標楷體" w:hint="eastAsia"/>
        </w:rPr>
        <w:t>採取</w:t>
      </w:r>
      <w:r w:rsidR="00AD2927">
        <w:rPr>
          <w:rFonts w:ascii="標楷體" w:eastAsia="標楷體" w:hAnsi="標楷體" w:hint="eastAsia"/>
        </w:rPr>
        <w:t>緊急措施</w:t>
      </w:r>
      <w:r w:rsidR="00AD2927" w:rsidRPr="00E12549">
        <w:rPr>
          <w:rFonts w:ascii="標楷體" w:eastAsia="標楷體" w:hAnsi="標楷體" w:hint="eastAsia"/>
        </w:rPr>
        <w:t>，</w:t>
      </w:r>
      <w:r w:rsidRPr="00AD2927">
        <w:rPr>
          <w:rFonts w:ascii="標楷體" w:eastAsia="標楷體" w:hAnsi="標楷體" w:hint="eastAsia"/>
        </w:rPr>
        <w:t>防止事件繼續擴大，先全面回收</w:t>
      </w:r>
      <w:r w:rsidR="00AD2927" w:rsidRPr="00AD2927">
        <w:rPr>
          <w:rFonts w:ascii="標楷體" w:eastAsia="標楷體" w:hAnsi="標楷體"/>
        </w:rPr>
        <w:t>Tylenol</w:t>
      </w:r>
      <w:proofErr w:type="gramStart"/>
      <w:r w:rsidRPr="00AD2927">
        <w:rPr>
          <w:rFonts w:ascii="標楷體" w:eastAsia="標楷體" w:hAnsi="標楷體" w:hint="eastAsia"/>
        </w:rPr>
        <w:t>並放布消息</w:t>
      </w:r>
      <w:proofErr w:type="gramEnd"/>
      <w:r w:rsidRPr="00AD2927">
        <w:rPr>
          <w:rFonts w:ascii="標楷體" w:eastAsia="標楷體" w:hAnsi="標楷體" w:hint="eastAsia"/>
        </w:rPr>
        <w:t>請消費者停止使用</w:t>
      </w:r>
      <w:r w:rsidR="00AD2927" w:rsidRPr="00E12549">
        <w:rPr>
          <w:rFonts w:ascii="標楷體" w:eastAsia="標楷體" w:hAnsi="標楷體" w:hint="eastAsia"/>
        </w:rPr>
        <w:t>。</w:t>
      </w:r>
      <w:r w:rsidRPr="00AD2927">
        <w:rPr>
          <w:rFonts w:ascii="標楷體" w:eastAsia="標楷體" w:hAnsi="標楷體" w:hint="eastAsia"/>
        </w:rPr>
        <w:t>直到</w:t>
      </w:r>
      <w:proofErr w:type="gramStart"/>
      <w:r w:rsidRPr="00AD2927">
        <w:rPr>
          <w:rFonts w:ascii="標楷體" w:eastAsia="標楷體" w:hAnsi="標楷體" w:hint="eastAsia"/>
        </w:rPr>
        <w:t>釐</w:t>
      </w:r>
      <w:proofErr w:type="gramEnd"/>
      <w:r w:rsidRPr="00AD2927">
        <w:rPr>
          <w:rFonts w:ascii="標楷體" w:eastAsia="標楷體" w:hAnsi="標楷體" w:hint="eastAsia"/>
        </w:rPr>
        <w:t>清事件是</w:t>
      </w:r>
      <w:proofErr w:type="gramStart"/>
      <w:r w:rsidRPr="00AD2927">
        <w:rPr>
          <w:rFonts w:ascii="標楷體" w:eastAsia="標楷體" w:hAnsi="標楷體" w:hint="eastAsia"/>
        </w:rPr>
        <w:t>遭投</w:t>
      </w:r>
      <w:proofErr w:type="gramEnd"/>
      <w:r w:rsidRPr="00AD2927">
        <w:rPr>
          <w:rFonts w:ascii="標楷體" w:eastAsia="標楷體" w:hAnsi="標楷體" w:hint="eastAsia"/>
        </w:rPr>
        <w:t>毒</w:t>
      </w:r>
      <w:r w:rsidR="00AD2927" w:rsidRPr="00E12549">
        <w:rPr>
          <w:rFonts w:ascii="標楷體" w:eastAsia="標楷體" w:hAnsi="標楷體" w:hint="eastAsia"/>
        </w:rPr>
        <w:t>，</w:t>
      </w:r>
      <w:r w:rsidR="00AD2927">
        <w:rPr>
          <w:rFonts w:ascii="標楷體" w:eastAsia="標楷體" w:hAnsi="標楷體" w:hint="eastAsia"/>
        </w:rPr>
        <w:t>強生製藥</w:t>
      </w:r>
      <w:r w:rsidRPr="00AD2927">
        <w:rPr>
          <w:rFonts w:ascii="標楷體" w:eastAsia="標楷體" w:hAnsi="標楷體" w:hint="eastAsia"/>
        </w:rPr>
        <w:t>也探究被下毒原因是產品包裝</w:t>
      </w:r>
      <w:r w:rsidR="00AD2927">
        <w:rPr>
          <w:rFonts w:ascii="標楷體" w:eastAsia="標楷體" w:hAnsi="標楷體" w:hint="eastAsia"/>
        </w:rPr>
        <w:t>出了</w:t>
      </w:r>
      <w:r w:rsidRPr="00AD2927">
        <w:rPr>
          <w:rFonts w:ascii="標楷體" w:eastAsia="標楷體" w:hAnsi="標楷體" w:hint="eastAsia"/>
        </w:rPr>
        <w:t>問題，因此新包裝有多重密封，專防假藥摻入，成為全國第一種防摻假藥品包裝。</w:t>
      </w:r>
      <w:r w:rsidR="00AD2927">
        <w:rPr>
          <w:rFonts w:ascii="標楷體" w:eastAsia="標楷體" w:hAnsi="標楷體" w:hint="eastAsia"/>
        </w:rPr>
        <w:t>並</w:t>
      </w:r>
      <w:r w:rsidRPr="00AD2927">
        <w:rPr>
          <w:rFonts w:ascii="標楷體" w:eastAsia="標楷體" w:hAnsi="標楷體" w:hint="eastAsia"/>
        </w:rPr>
        <w:t>以優惠</w:t>
      </w:r>
      <w:proofErr w:type="gramStart"/>
      <w:r w:rsidRPr="00AD2927">
        <w:rPr>
          <w:rFonts w:ascii="標楷體" w:eastAsia="標楷體" w:hAnsi="標楷體" w:hint="eastAsia"/>
        </w:rPr>
        <w:t>券</w:t>
      </w:r>
      <w:proofErr w:type="gramEnd"/>
      <w:r w:rsidRPr="00AD2927">
        <w:rPr>
          <w:rFonts w:ascii="標楷體" w:eastAsia="標楷體" w:hAnsi="標楷體" w:hint="eastAsia"/>
        </w:rPr>
        <w:t>方式進行促銷，將全部</w:t>
      </w:r>
      <w:r w:rsidRPr="00AD2927">
        <w:rPr>
          <w:rFonts w:ascii="標楷體" w:eastAsia="標楷體" w:hAnsi="標楷體"/>
        </w:rPr>
        <w:t>Tylenol</w:t>
      </w:r>
      <w:r w:rsidRPr="00AD2927">
        <w:rPr>
          <w:rFonts w:ascii="標楷體" w:eastAsia="標楷體" w:hAnsi="標楷體" w:hint="eastAsia"/>
        </w:rPr>
        <w:t>的廣告重新設計。一年以後，強生公司的產品重新獲得了廣大公眾的信任，泰萊諾爾又重新占領了</w:t>
      </w:r>
      <w:r w:rsidRPr="00AD2927">
        <w:rPr>
          <w:rFonts w:ascii="標楷體" w:eastAsia="標楷體" w:hAnsi="標楷體"/>
        </w:rPr>
        <w:t>95</w:t>
      </w:r>
      <w:r w:rsidRPr="00AD2927">
        <w:rPr>
          <w:rFonts w:ascii="標楷體" w:eastAsia="標楷體" w:hAnsi="標楷體" w:hint="eastAsia"/>
        </w:rPr>
        <w:t>％的市場份額</w:t>
      </w:r>
    </w:p>
    <w:p w:rsidR="00AD2927" w:rsidRDefault="00B033D5" w:rsidP="00E12549">
      <w:pPr>
        <w:spacing w:beforeLines="50" w:before="180" w:line="360" w:lineRule="auto"/>
        <w:ind w:firstLineChars="200" w:firstLine="480"/>
        <w:rPr>
          <w:rFonts w:ascii="標楷體" w:eastAsia="標楷體" w:hAnsi="標楷體"/>
        </w:rPr>
      </w:pPr>
      <w:r w:rsidRPr="00AD2927">
        <w:rPr>
          <w:rFonts w:ascii="標楷體" w:eastAsia="標楷體" w:hAnsi="標楷體" w:hint="eastAsia"/>
        </w:rPr>
        <w:t>強生公</w:t>
      </w:r>
      <w:r w:rsidR="00AD2927" w:rsidRPr="00AD2927">
        <w:rPr>
          <w:rFonts w:ascii="標楷體" w:eastAsia="標楷體" w:hAnsi="標楷體" w:hint="eastAsia"/>
        </w:rPr>
        <w:t>司能深刻體認到這件事</w:t>
      </w:r>
      <w:r w:rsidRPr="00AD2927">
        <w:rPr>
          <w:rFonts w:ascii="標楷體" w:eastAsia="標楷體" w:hAnsi="標楷體" w:hint="eastAsia"/>
        </w:rPr>
        <w:t>嚴重</w:t>
      </w:r>
      <w:r w:rsidR="00AD2927" w:rsidRPr="00AD2927">
        <w:rPr>
          <w:rFonts w:ascii="標楷體" w:eastAsia="標楷體" w:hAnsi="標楷體" w:hint="eastAsia"/>
        </w:rPr>
        <w:t>影響</w:t>
      </w:r>
      <w:r w:rsidRPr="00AD2927">
        <w:rPr>
          <w:rFonts w:ascii="標楷體" w:eastAsia="標楷體" w:hAnsi="標楷體" w:hint="eastAsia"/>
        </w:rPr>
        <w:t>消費者的生命安全</w:t>
      </w:r>
      <w:r w:rsidR="00AD2927" w:rsidRPr="00AD2927">
        <w:rPr>
          <w:rFonts w:ascii="標楷體" w:eastAsia="標楷體" w:hAnsi="標楷體" w:hint="eastAsia"/>
        </w:rPr>
        <w:t>，寧可採取最高規格的措施，避免有更多消費這性命因此受到威脅</w:t>
      </w:r>
      <w:r w:rsidR="00AD2927" w:rsidRPr="00E12549">
        <w:rPr>
          <w:rFonts w:ascii="標楷體" w:eastAsia="標楷體" w:hAnsi="標楷體" w:hint="eastAsia"/>
        </w:rPr>
        <w:t>。</w:t>
      </w:r>
      <w:r w:rsidR="00AD2927" w:rsidRPr="00A4756A">
        <w:rPr>
          <w:rFonts w:ascii="標楷體" w:eastAsia="標楷體" w:hAnsi="標楷體"/>
        </w:rPr>
        <w:t>強生公司在</w:t>
      </w:r>
      <w:r w:rsidR="00AD2927">
        <w:rPr>
          <w:rFonts w:ascii="標楷體" w:eastAsia="標楷體" w:hAnsi="標楷體" w:hint="eastAsia"/>
        </w:rPr>
        <w:t>「</w:t>
      </w:r>
      <w:r w:rsidR="00AD2927" w:rsidRPr="00A4756A">
        <w:rPr>
          <w:rFonts w:ascii="標楷體" w:eastAsia="標楷體" w:hAnsi="標楷體"/>
        </w:rPr>
        <w:t>泰諾</w:t>
      </w:r>
      <w:r w:rsidR="00AD2927">
        <w:rPr>
          <w:rFonts w:ascii="標楷體" w:eastAsia="標楷體" w:hAnsi="標楷體" w:hint="eastAsia"/>
        </w:rPr>
        <w:t>」</w:t>
      </w:r>
      <w:r w:rsidR="00AD2927" w:rsidRPr="00A4756A">
        <w:rPr>
          <w:rFonts w:ascii="標楷體" w:eastAsia="標楷體" w:hAnsi="標楷體"/>
        </w:rPr>
        <w:t>事件發生後果敢地採取了一系列正確的決策，贏得了公眾和輿論的支持，最大程度的消除了危機帶來的影響，使公司信譽的損失減少到最低程度。</w:t>
      </w:r>
    </w:p>
    <w:p w:rsidR="00AD2927" w:rsidRPr="00AD2927" w:rsidRDefault="00032F03" w:rsidP="00B033D5">
      <w:pPr>
        <w:spacing w:beforeLines="50" w:before="180"/>
        <w:ind w:firstLineChars="200" w:firstLine="480"/>
        <w:rPr>
          <w:rFonts w:ascii="標楷體" w:eastAsia="標楷體" w:hAnsi="標楷體"/>
        </w:rPr>
      </w:pPr>
      <w:r w:rsidRPr="00032F03">
        <w:rPr>
          <w:rFonts w:ascii="標楷體" w:eastAsia="標楷體" w:hAnsi="標楷體"/>
          <w:noProof/>
        </w:rPr>
        <w:drawing>
          <wp:inline distT="0" distB="0" distL="0" distR="0">
            <wp:extent cx="6120765" cy="3786691"/>
            <wp:effectExtent l="0" t="0" r="0" b="4445"/>
            <wp:docPr id="2" name="圖片 2" descr="D:\Judy 個人區\NCTU 資管區\02_策略管理\強生製藥公司  泰萊諾爾  中毒事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udy 個人區\NCTU 資管區\02_策略管理\強生製藥公司  泰萊諾爾  中毒事件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8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40" w:rsidRPr="00802740" w:rsidRDefault="00802740" w:rsidP="00802740">
      <w:pPr>
        <w:rPr>
          <w:rFonts w:ascii="標楷體" w:eastAsia="標楷體" w:hAnsi="標楷體"/>
        </w:rPr>
      </w:pPr>
      <w:bookmarkStart w:id="0" w:name="_GoBack"/>
      <w:bookmarkEnd w:id="0"/>
    </w:p>
    <w:sectPr w:rsidR="00802740" w:rsidRPr="00802740" w:rsidSect="00CC5547">
      <w:headerReference w:type="default" r:id="rId10"/>
      <w:footerReference w:type="default" r:id="rId11"/>
      <w:type w:val="continuous"/>
      <w:pgSz w:w="11906" w:h="16838"/>
      <w:pgMar w:top="1440" w:right="1133" w:bottom="709" w:left="1134" w:header="851" w:footer="1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EF5" w:rsidRDefault="000B7EF5" w:rsidP="00E57A20">
      <w:r>
        <w:separator/>
      </w:r>
    </w:p>
  </w:endnote>
  <w:endnote w:type="continuationSeparator" w:id="0">
    <w:p w:rsidR="000B7EF5" w:rsidRDefault="000B7EF5" w:rsidP="00E57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3676776"/>
      <w:docPartObj>
        <w:docPartGallery w:val="Page Numbers (Bottom of Page)"/>
        <w:docPartUnique/>
      </w:docPartObj>
    </w:sdtPr>
    <w:sdtEndPr/>
    <w:sdtContent>
      <w:p w:rsidR="00C63E13" w:rsidRDefault="00C63E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982D92" w:rsidRDefault="00982D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EF5" w:rsidRDefault="000B7EF5" w:rsidP="00E57A20">
      <w:r>
        <w:separator/>
      </w:r>
    </w:p>
  </w:footnote>
  <w:footnote w:type="continuationSeparator" w:id="0">
    <w:p w:rsidR="000B7EF5" w:rsidRDefault="000B7EF5" w:rsidP="00E57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9640" w:type="dxa"/>
      <w:tblInd w:w="-5" w:type="dxa"/>
      <w:tblLook w:val="04A0" w:firstRow="1" w:lastRow="0" w:firstColumn="1" w:lastColumn="0" w:noHBand="0" w:noVBand="1"/>
    </w:tblPr>
    <w:tblGrid>
      <w:gridCol w:w="1135"/>
      <w:gridCol w:w="3402"/>
      <w:gridCol w:w="850"/>
      <w:gridCol w:w="1276"/>
      <w:gridCol w:w="709"/>
      <w:gridCol w:w="2268"/>
    </w:tblGrid>
    <w:tr w:rsidR="00E57A20" w:rsidRPr="001A30C9" w:rsidTr="00620551">
      <w:tc>
        <w:tcPr>
          <w:tcW w:w="1135" w:type="dxa"/>
        </w:tcPr>
        <w:p w:rsidR="00E57A20" w:rsidRPr="00C32BB9" w:rsidRDefault="00E57A20" w:rsidP="00C32BB9">
          <w:pPr>
            <w:pStyle w:val="a3"/>
            <w:spacing w:line="276" w:lineRule="auto"/>
            <w:rPr>
              <w:rFonts w:ascii="標楷體" w:eastAsia="標楷體" w:hAnsi="標楷體"/>
              <w:sz w:val="22"/>
              <w:szCs w:val="22"/>
            </w:rPr>
          </w:pPr>
          <w:r w:rsidRPr="00C32BB9">
            <w:rPr>
              <w:rFonts w:ascii="標楷體" w:eastAsia="標楷體" w:hAnsi="標楷體" w:hint="eastAsia"/>
              <w:sz w:val="22"/>
              <w:szCs w:val="22"/>
            </w:rPr>
            <w:t>課程名稱</w:t>
          </w:r>
        </w:p>
      </w:tc>
      <w:tc>
        <w:tcPr>
          <w:tcW w:w="3402" w:type="dxa"/>
          <w:tcBorders>
            <w:right w:val="single" w:sz="4" w:space="0" w:color="000000" w:themeColor="text1"/>
          </w:tcBorders>
        </w:tcPr>
        <w:p w:rsidR="00E57A20" w:rsidRPr="00735582" w:rsidRDefault="00453D7F" w:rsidP="00C32BB9">
          <w:pPr>
            <w:pStyle w:val="a3"/>
            <w:spacing w:line="276" w:lineRule="auto"/>
            <w:rPr>
              <w:rFonts w:ascii="標楷體" w:eastAsia="標楷體" w:hAnsi="標楷體"/>
              <w:sz w:val="22"/>
              <w:szCs w:val="22"/>
            </w:rPr>
          </w:pPr>
          <w:r w:rsidRPr="00453D7F">
            <w:rPr>
              <w:rFonts w:ascii="標楷體" w:eastAsia="標楷體" w:hAnsi="標楷體" w:hint="eastAsia"/>
              <w:sz w:val="22"/>
              <w:szCs w:val="22"/>
            </w:rPr>
            <w:t>策略管理</w:t>
          </w:r>
          <w:r w:rsidR="00735582" w:rsidRPr="00735582">
            <w:rPr>
              <w:rFonts w:ascii="標楷體" w:eastAsia="標楷體" w:hAnsi="標楷體" w:hint="eastAsia"/>
              <w:sz w:val="22"/>
              <w:szCs w:val="22"/>
            </w:rPr>
            <w:t xml:space="preserve"> </w:t>
          </w:r>
        </w:p>
      </w:tc>
      <w:tc>
        <w:tcPr>
          <w:tcW w:w="850" w:type="dxa"/>
          <w:tcBorders>
            <w:left w:val="single" w:sz="4" w:space="0" w:color="000000" w:themeColor="text1"/>
          </w:tcBorders>
        </w:tcPr>
        <w:p w:rsidR="00E57A20" w:rsidRPr="00C32BB9" w:rsidRDefault="00E57A20" w:rsidP="00C32BB9">
          <w:pPr>
            <w:pStyle w:val="a3"/>
            <w:spacing w:line="276" w:lineRule="auto"/>
            <w:rPr>
              <w:rFonts w:ascii="標楷體" w:eastAsia="標楷體" w:hAnsi="標楷體"/>
              <w:sz w:val="22"/>
              <w:szCs w:val="22"/>
            </w:rPr>
          </w:pPr>
          <w:r w:rsidRPr="00C32BB9">
            <w:rPr>
              <w:rFonts w:ascii="標楷體" w:eastAsia="標楷體" w:hAnsi="標楷體" w:hint="eastAsia"/>
              <w:sz w:val="22"/>
              <w:szCs w:val="22"/>
            </w:rPr>
            <w:t>教授</w:t>
          </w:r>
        </w:p>
      </w:tc>
      <w:tc>
        <w:tcPr>
          <w:tcW w:w="1276" w:type="dxa"/>
        </w:tcPr>
        <w:p w:rsidR="00E57A20" w:rsidRPr="00735582" w:rsidRDefault="00453D7F" w:rsidP="00C32BB9">
          <w:pPr>
            <w:pStyle w:val="a3"/>
            <w:spacing w:line="276" w:lineRule="auto"/>
            <w:rPr>
              <w:rFonts w:ascii="標楷體" w:eastAsia="標楷體" w:hAnsi="標楷體"/>
              <w:sz w:val="22"/>
              <w:szCs w:val="22"/>
            </w:rPr>
          </w:pPr>
          <w:r>
            <w:rPr>
              <w:rFonts w:ascii="標楷體" w:eastAsia="標楷體" w:hAnsi="標楷體" w:hint="eastAsia"/>
              <w:sz w:val="22"/>
              <w:szCs w:val="22"/>
            </w:rPr>
            <w:t xml:space="preserve">楊 </w:t>
          </w:r>
          <w:r>
            <w:rPr>
              <w:rFonts w:ascii="標楷體" w:eastAsia="標楷體" w:hAnsi="標楷體"/>
              <w:sz w:val="22"/>
              <w:szCs w:val="22"/>
            </w:rPr>
            <w:t xml:space="preserve"> </w:t>
          </w:r>
          <w:r>
            <w:rPr>
              <w:rFonts w:ascii="標楷體" w:eastAsia="標楷體" w:hAnsi="標楷體" w:hint="eastAsia"/>
              <w:sz w:val="22"/>
              <w:szCs w:val="22"/>
            </w:rPr>
            <w:t>千</w:t>
          </w:r>
        </w:p>
      </w:tc>
      <w:tc>
        <w:tcPr>
          <w:tcW w:w="709" w:type="dxa"/>
        </w:tcPr>
        <w:p w:rsidR="00E57A20" w:rsidRPr="00C32BB9" w:rsidRDefault="00E57A20" w:rsidP="00C32BB9">
          <w:pPr>
            <w:pStyle w:val="a3"/>
            <w:spacing w:line="276" w:lineRule="auto"/>
            <w:rPr>
              <w:rFonts w:ascii="標楷體" w:eastAsia="標楷體" w:hAnsi="標楷體"/>
              <w:sz w:val="22"/>
              <w:szCs w:val="22"/>
            </w:rPr>
          </w:pPr>
          <w:r w:rsidRPr="00C32BB9">
            <w:rPr>
              <w:rFonts w:ascii="標楷體" w:eastAsia="標楷體" w:hAnsi="標楷體" w:hint="eastAsia"/>
              <w:sz w:val="22"/>
              <w:szCs w:val="22"/>
            </w:rPr>
            <w:t>學期</w:t>
          </w:r>
        </w:p>
      </w:tc>
      <w:tc>
        <w:tcPr>
          <w:tcW w:w="2268" w:type="dxa"/>
        </w:tcPr>
        <w:p w:rsidR="00E57A20" w:rsidRPr="00735582" w:rsidRDefault="00E57A20" w:rsidP="009E5EAB">
          <w:pPr>
            <w:pStyle w:val="a3"/>
            <w:spacing w:line="276" w:lineRule="auto"/>
            <w:jc w:val="center"/>
            <w:rPr>
              <w:rFonts w:ascii="標楷體" w:eastAsia="標楷體" w:hAnsi="標楷體"/>
              <w:sz w:val="22"/>
              <w:szCs w:val="22"/>
            </w:rPr>
          </w:pPr>
          <w:r w:rsidRPr="00735582">
            <w:rPr>
              <w:rFonts w:ascii="標楷體" w:eastAsia="標楷體" w:hAnsi="標楷體" w:hint="eastAsia"/>
              <w:sz w:val="22"/>
              <w:szCs w:val="22"/>
            </w:rPr>
            <w:t>107學年度第</w:t>
          </w:r>
          <w:r w:rsidR="00554BF9" w:rsidRPr="00735582">
            <w:rPr>
              <w:rFonts w:ascii="標楷體" w:eastAsia="標楷體" w:hAnsi="標楷體" w:hint="eastAsia"/>
              <w:sz w:val="22"/>
              <w:szCs w:val="22"/>
            </w:rPr>
            <w:t>二</w:t>
          </w:r>
          <w:r w:rsidRPr="00735582">
            <w:rPr>
              <w:rFonts w:ascii="標楷體" w:eastAsia="標楷體" w:hAnsi="標楷體" w:hint="eastAsia"/>
              <w:sz w:val="22"/>
              <w:szCs w:val="22"/>
            </w:rPr>
            <w:t>學期</w:t>
          </w:r>
        </w:p>
      </w:tc>
    </w:tr>
    <w:tr w:rsidR="00E57A20" w:rsidRPr="001A30C9" w:rsidTr="00620551">
      <w:tc>
        <w:tcPr>
          <w:tcW w:w="1135" w:type="dxa"/>
        </w:tcPr>
        <w:p w:rsidR="00E57A20" w:rsidRPr="00C32BB9" w:rsidRDefault="00E57A20" w:rsidP="00C32BB9">
          <w:pPr>
            <w:pStyle w:val="a3"/>
            <w:spacing w:line="276" w:lineRule="auto"/>
            <w:rPr>
              <w:rFonts w:ascii="標楷體" w:eastAsia="標楷體" w:hAnsi="標楷體"/>
              <w:sz w:val="22"/>
              <w:szCs w:val="22"/>
            </w:rPr>
          </w:pPr>
          <w:r w:rsidRPr="00C32BB9">
            <w:rPr>
              <w:rFonts w:ascii="標楷體" w:eastAsia="標楷體" w:hAnsi="標楷體" w:hint="eastAsia"/>
              <w:sz w:val="22"/>
              <w:szCs w:val="22"/>
            </w:rPr>
            <w:t>系所</w:t>
          </w:r>
        </w:p>
      </w:tc>
      <w:tc>
        <w:tcPr>
          <w:tcW w:w="3402" w:type="dxa"/>
          <w:tcBorders>
            <w:right w:val="single" w:sz="4" w:space="0" w:color="000000" w:themeColor="text1"/>
          </w:tcBorders>
        </w:tcPr>
        <w:p w:rsidR="00E57A20" w:rsidRPr="00735582" w:rsidRDefault="00E57A20" w:rsidP="00C32BB9">
          <w:pPr>
            <w:pStyle w:val="a3"/>
            <w:spacing w:line="276" w:lineRule="auto"/>
            <w:rPr>
              <w:rFonts w:ascii="標楷體" w:eastAsia="標楷體" w:hAnsi="標楷體"/>
              <w:sz w:val="22"/>
              <w:szCs w:val="22"/>
            </w:rPr>
          </w:pPr>
          <w:r w:rsidRPr="00735582">
            <w:rPr>
              <w:rFonts w:ascii="標楷體" w:eastAsia="標楷體" w:hAnsi="標楷體" w:hint="eastAsia"/>
              <w:sz w:val="22"/>
              <w:szCs w:val="22"/>
            </w:rPr>
            <w:t>管理學院碩士在職專班-資管組</w:t>
          </w:r>
        </w:p>
      </w:tc>
      <w:tc>
        <w:tcPr>
          <w:tcW w:w="850" w:type="dxa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E57A20" w:rsidRPr="00C32BB9" w:rsidRDefault="00E57A20" w:rsidP="00C32BB9">
          <w:pPr>
            <w:pStyle w:val="a3"/>
            <w:spacing w:line="276" w:lineRule="auto"/>
            <w:rPr>
              <w:rFonts w:ascii="標楷體" w:eastAsia="標楷體" w:hAnsi="標楷體"/>
              <w:sz w:val="22"/>
              <w:szCs w:val="22"/>
            </w:rPr>
          </w:pPr>
          <w:r w:rsidRPr="00C32BB9">
            <w:rPr>
              <w:rFonts w:ascii="標楷體" w:eastAsia="標楷體" w:hAnsi="標楷體" w:hint="eastAsia"/>
              <w:sz w:val="22"/>
              <w:szCs w:val="22"/>
            </w:rPr>
            <w:t>學生</w:t>
          </w:r>
        </w:p>
      </w:tc>
      <w:tc>
        <w:tcPr>
          <w:tcW w:w="1276" w:type="dxa"/>
          <w:tcBorders>
            <w:left w:val="single" w:sz="4" w:space="0" w:color="000000" w:themeColor="text1"/>
          </w:tcBorders>
        </w:tcPr>
        <w:p w:rsidR="00E57A20" w:rsidRPr="00735582" w:rsidRDefault="00E57A20" w:rsidP="00C32BB9">
          <w:pPr>
            <w:pStyle w:val="a3"/>
            <w:spacing w:line="276" w:lineRule="auto"/>
            <w:rPr>
              <w:rFonts w:ascii="標楷體" w:eastAsia="標楷體" w:hAnsi="標楷體"/>
              <w:sz w:val="22"/>
              <w:szCs w:val="22"/>
            </w:rPr>
          </w:pPr>
          <w:r w:rsidRPr="00735582">
            <w:rPr>
              <w:rFonts w:ascii="標楷體" w:eastAsia="標楷體" w:hAnsi="標楷體" w:hint="eastAsia"/>
              <w:sz w:val="22"/>
              <w:szCs w:val="22"/>
            </w:rPr>
            <w:t>徐欣慧</w:t>
          </w:r>
        </w:p>
      </w:tc>
      <w:tc>
        <w:tcPr>
          <w:tcW w:w="709" w:type="dxa"/>
        </w:tcPr>
        <w:p w:rsidR="00E57A20" w:rsidRPr="00C32BB9" w:rsidRDefault="00E57A20" w:rsidP="00C32BB9">
          <w:pPr>
            <w:pStyle w:val="a3"/>
            <w:spacing w:line="276" w:lineRule="auto"/>
            <w:rPr>
              <w:rFonts w:ascii="標楷體" w:eastAsia="標楷體" w:hAnsi="標楷體"/>
              <w:sz w:val="22"/>
              <w:szCs w:val="22"/>
            </w:rPr>
          </w:pPr>
          <w:r w:rsidRPr="00C32BB9">
            <w:rPr>
              <w:rFonts w:ascii="標楷體" w:eastAsia="標楷體" w:hAnsi="標楷體" w:hint="eastAsia"/>
              <w:sz w:val="22"/>
              <w:szCs w:val="22"/>
            </w:rPr>
            <w:t>學號</w:t>
          </w:r>
        </w:p>
      </w:tc>
      <w:tc>
        <w:tcPr>
          <w:tcW w:w="2268" w:type="dxa"/>
        </w:tcPr>
        <w:p w:rsidR="00E57A20" w:rsidRPr="00735582" w:rsidRDefault="00E57A20" w:rsidP="009E5EAB">
          <w:pPr>
            <w:pStyle w:val="a3"/>
            <w:spacing w:line="276" w:lineRule="auto"/>
            <w:jc w:val="center"/>
            <w:rPr>
              <w:rFonts w:ascii="標楷體" w:eastAsia="標楷體" w:hAnsi="標楷體"/>
              <w:sz w:val="22"/>
              <w:szCs w:val="22"/>
            </w:rPr>
          </w:pPr>
          <w:r w:rsidRPr="00735582">
            <w:rPr>
              <w:rFonts w:ascii="標楷體" w:eastAsia="標楷體" w:hAnsi="標楷體" w:hint="eastAsia"/>
              <w:sz w:val="22"/>
              <w:szCs w:val="22"/>
            </w:rPr>
            <w:t>0763417</w:t>
          </w:r>
        </w:p>
      </w:tc>
    </w:tr>
    <w:tr w:rsidR="00982D92" w:rsidRPr="001A30C9" w:rsidTr="00982D92">
      <w:tc>
        <w:tcPr>
          <w:tcW w:w="1135" w:type="dxa"/>
        </w:tcPr>
        <w:p w:rsidR="00982D92" w:rsidRPr="00C32BB9" w:rsidRDefault="00982D92" w:rsidP="00C32BB9">
          <w:pPr>
            <w:pStyle w:val="a3"/>
            <w:spacing w:line="276" w:lineRule="auto"/>
            <w:rPr>
              <w:rFonts w:ascii="標楷體" w:eastAsia="標楷體" w:hAnsi="標楷體"/>
              <w:sz w:val="22"/>
              <w:szCs w:val="22"/>
            </w:rPr>
          </w:pPr>
          <w:r w:rsidRPr="00C32BB9">
            <w:rPr>
              <w:rFonts w:ascii="標楷體" w:eastAsia="標楷體" w:hAnsi="標楷體" w:hint="eastAsia"/>
              <w:sz w:val="22"/>
              <w:szCs w:val="22"/>
            </w:rPr>
            <w:t>作業</w:t>
          </w:r>
        </w:p>
      </w:tc>
      <w:tc>
        <w:tcPr>
          <w:tcW w:w="5528" w:type="dxa"/>
          <w:gridSpan w:val="3"/>
        </w:tcPr>
        <w:p w:rsidR="00982D92" w:rsidRPr="00C32BB9" w:rsidRDefault="00C63E13" w:rsidP="00C32BB9">
          <w:pPr>
            <w:pStyle w:val="a3"/>
            <w:spacing w:line="276" w:lineRule="auto"/>
            <w:rPr>
              <w:rFonts w:ascii="標楷體" w:eastAsia="標楷體" w:hAnsi="標楷體"/>
              <w:sz w:val="22"/>
              <w:szCs w:val="22"/>
            </w:rPr>
          </w:pPr>
          <w:r>
            <w:rPr>
              <w:rFonts w:ascii="標楷體" w:eastAsia="標楷體" w:hAnsi="標楷體" w:hint="eastAsia"/>
              <w:sz w:val="22"/>
              <w:szCs w:val="22"/>
            </w:rPr>
            <w:t>危機處理個案心得</w:t>
          </w:r>
        </w:p>
      </w:tc>
      <w:tc>
        <w:tcPr>
          <w:tcW w:w="709" w:type="dxa"/>
        </w:tcPr>
        <w:p w:rsidR="00982D92" w:rsidRPr="00C32BB9" w:rsidRDefault="00C63E13" w:rsidP="00C32BB9">
          <w:pPr>
            <w:pStyle w:val="a3"/>
            <w:spacing w:line="276" w:lineRule="auto"/>
            <w:rPr>
              <w:rFonts w:ascii="標楷體" w:eastAsia="標楷體" w:hAnsi="標楷體"/>
              <w:sz w:val="22"/>
              <w:szCs w:val="22"/>
            </w:rPr>
          </w:pPr>
          <w:r>
            <w:rPr>
              <w:rFonts w:ascii="標楷體" w:eastAsia="標楷體" w:hAnsi="標楷體" w:hint="eastAsia"/>
              <w:sz w:val="22"/>
              <w:szCs w:val="22"/>
            </w:rPr>
            <w:t>日期</w:t>
          </w:r>
        </w:p>
      </w:tc>
      <w:tc>
        <w:tcPr>
          <w:tcW w:w="2268" w:type="dxa"/>
        </w:tcPr>
        <w:p w:rsidR="00982D92" w:rsidRPr="00C32BB9" w:rsidRDefault="00C63E13" w:rsidP="009E5EAB">
          <w:pPr>
            <w:pStyle w:val="a3"/>
            <w:spacing w:line="276" w:lineRule="auto"/>
            <w:jc w:val="center"/>
            <w:rPr>
              <w:rFonts w:ascii="標楷體" w:eastAsia="標楷體" w:hAnsi="標楷體"/>
              <w:sz w:val="22"/>
              <w:szCs w:val="22"/>
            </w:rPr>
          </w:pPr>
          <w:r>
            <w:rPr>
              <w:rFonts w:ascii="標楷體" w:eastAsia="標楷體" w:hAnsi="標楷體" w:hint="eastAsia"/>
              <w:sz w:val="22"/>
              <w:szCs w:val="22"/>
            </w:rPr>
            <w:t>2</w:t>
          </w:r>
          <w:r>
            <w:rPr>
              <w:rFonts w:ascii="標楷體" w:eastAsia="標楷體" w:hAnsi="標楷體"/>
              <w:sz w:val="22"/>
              <w:szCs w:val="22"/>
            </w:rPr>
            <w:t>019/3/19</w:t>
          </w:r>
        </w:p>
      </w:tc>
    </w:tr>
  </w:tbl>
  <w:p w:rsidR="00E57A20" w:rsidRDefault="00E57A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5BEB"/>
    <w:multiLevelType w:val="hybridMultilevel"/>
    <w:tmpl w:val="1940F0F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B620C9"/>
    <w:multiLevelType w:val="hybridMultilevel"/>
    <w:tmpl w:val="D9D8D6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A20ACE"/>
    <w:multiLevelType w:val="hybridMultilevel"/>
    <w:tmpl w:val="8676F358"/>
    <w:lvl w:ilvl="0" w:tplc="7A0C9BA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5D5616"/>
    <w:multiLevelType w:val="hybridMultilevel"/>
    <w:tmpl w:val="83C4950A"/>
    <w:lvl w:ilvl="0" w:tplc="7A0C9BA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BC4554"/>
    <w:multiLevelType w:val="hybridMultilevel"/>
    <w:tmpl w:val="8D1A8A6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7163524"/>
    <w:multiLevelType w:val="hybridMultilevel"/>
    <w:tmpl w:val="B2D640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8F7080"/>
    <w:multiLevelType w:val="hybridMultilevel"/>
    <w:tmpl w:val="3BCA433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B12D87"/>
    <w:multiLevelType w:val="hybridMultilevel"/>
    <w:tmpl w:val="7C52F622"/>
    <w:lvl w:ilvl="0" w:tplc="47CCDB8E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20"/>
    <w:rsid w:val="0000527A"/>
    <w:rsid w:val="00032D8D"/>
    <w:rsid w:val="00032F03"/>
    <w:rsid w:val="00052ABD"/>
    <w:rsid w:val="000537E4"/>
    <w:rsid w:val="00093C21"/>
    <w:rsid w:val="000959C4"/>
    <w:rsid w:val="000B7EF5"/>
    <w:rsid w:val="0015431D"/>
    <w:rsid w:val="002604E3"/>
    <w:rsid w:val="002606C6"/>
    <w:rsid w:val="00280AA8"/>
    <w:rsid w:val="002924D1"/>
    <w:rsid w:val="002979A1"/>
    <w:rsid w:val="002B300B"/>
    <w:rsid w:val="002C65BE"/>
    <w:rsid w:val="003559B0"/>
    <w:rsid w:val="00384159"/>
    <w:rsid w:val="00406C86"/>
    <w:rsid w:val="00444C97"/>
    <w:rsid w:val="004530DE"/>
    <w:rsid w:val="00453D7F"/>
    <w:rsid w:val="00457B28"/>
    <w:rsid w:val="004B3F5A"/>
    <w:rsid w:val="004D4E65"/>
    <w:rsid w:val="005351AF"/>
    <w:rsid w:val="00554BF9"/>
    <w:rsid w:val="005C4299"/>
    <w:rsid w:val="005D580A"/>
    <w:rsid w:val="00620551"/>
    <w:rsid w:val="006642AA"/>
    <w:rsid w:val="00683712"/>
    <w:rsid w:val="00735582"/>
    <w:rsid w:val="007C3EF1"/>
    <w:rsid w:val="007C55FB"/>
    <w:rsid w:val="007F7DCF"/>
    <w:rsid w:val="00802740"/>
    <w:rsid w:val="00853115"/>
    <w:rsid w:val="00874FE7"/>
    <w:rsid w:val="00886ABF"/>
    <w:rsid w:val="008B17A8"/>
    <w:rsid w:val="00982D92"/>
    <w:rsid w:val="009D1D80"/>
    <w:rsid w:val="009E5EAB"/>
    <w:rsid w:val="00A2507E"/>
    <w:rsid w:val="00A4756A"/>
    <w:rsid w:val="00AA3DE9"/>
    <w:rsid w:val="00AD2868"/>
    <w:rsid w:val="00AD2927"/>
    <w:rsid w:val="00AE6C11"/>
    <w:rsid w:val="00B033D5"/>
    <w:rsid w:val="00B23F7D"/>
    <w:rsid w:val="00B67CC9"/>
    <w:rsid w:val="00B940CD"/>
    <w:rsid w:val="00BC2E83"/>
    <w:rsid w:val="00C30F8D"/>
    <w:rsid w:val="00C32BB9"/>
    <w:rsid w:val="00C63E13"/>
    <w:rsid w:val="00CC5547"/>
    <w:rsid w:val="00CD426E"/>
    <w:rsid w:val="00DA1F44"/>
    <w:rsid w:val="00E12549"/>
    <w:rsid w:val="00E21969"/>
    <w:rsid w:val="00E57A20"/>
    <w:rsid w:val="00E816FB"/>
    <w:rsid w:val="00FA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2BB9F5-25DC-44B3-B6DD-5538378B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A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7A2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7A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7A20"/>
    <w:rPr>
      <w:sz w:val="20"/>
      <w:szCs w:val="20"/>
    </w:rPr>
  </w:style>
  <w:style w:type="table" w:styleId="a7">
    <w:name w:val="Table Grid"/>
    <w:basedOn w:val="a1"/>
    <w:uiPriority w:val="39"/>
    <w:rsid w:val="00E57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093C2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CD42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D426E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5C4299"/>
    <w:pPr>
      <w:ind w:leftChars="200" w:left="480"/>
    </w:pPr>
  </w:style>
  <w:style w:type="character" w:styleId="ab">
    <w:name w:val="Emphasis"/>
    <w:basedOn w:val="a0"/>
    <w:uiPriority w:val="20"/>
    <w:qFormat/>
    <w:rsid w:val="006837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23981-653C-4F6F-BB39-FFCA223BB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</dc:creator>
  <cp:keywords/>
  <dc:description/>
  <cp:lastModifiedBy>Judy</cp:lastModifiedBy>
  <cp:revision>2</cp:revision>
  <cp:lastPrinted>2018-10-08T04:06:00Z</cp:lastPrinted>
  <dcterms:created xsi:type="dcterms:W3CDTF">2019-03-24T08:37:00Z</dcterms:created>
  <dcterms:modified xsi:type="dcterms:W3CDTF">2019-03-24T08:37:00Z</dcterms:modified>
</cp:coreProperties>
</file>