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700" w:rsidRDefault="00325DF5" w:rsidP="008F2700">
      <w:pPr>
        <w:snapToGrid w:val="0"/>
        <w:jc w:val="center"/>
        <w:rPr>
          <w:rFonts w:ascii="微軟正黑體" w:eastAsia="微軟正黑體" w:hAnsi="微軟正黑體"/>
          <w:b/>
        </w:rPr>
      </w:pPr>
      <w:r>
        <w:rPr>
          <w:rFonts w:ascii="微軟正黑體" w:eastAsia="微軟正黑體" w:hAnsi="微軟正黑體" w:hint="eastAsia"/>
          <w:b/>
        </w:rPr>
        <w:t>2019/</w:t>
      </w:r>
      <w:r w:rsidRPr="00325DF5">
        <w:rPr>
          <w:rFonts w:ascii="微軟正黑體" w:eastAsia="微軟正黑體" w:hAnsi="微軟正黑體" w:hint="eastAsia"/>
          <w:b/>
        </w:rPr>
        <w:t>10/28 上午主題：行動支付解析</w:t>
      </w:r>
    </w:p>
    <w:p w:rsidR="008F2700" w:rsidRDefault="00545EB4" w:rsidP="008F2700">
      <w:pPr>
        <w:jc w:val="center"/>
        <w:rPr>
          <w:rFonts w:ascii="微軟正黑體" w:eastAsia="微軟正黑體" w:hAnsi="微軟正黑體"/>
          <w:b/>
        </w:rPr>
      </w:pPr>
      <w:r>
        <w:rPr>
          <w:rFonts w:ascii="微軟正黑體" w:eastAsia="微軟正黑體" w:hAnsi="微軟正黑體" w:hint="eastAsia"/>
          <w:b/>
        </w:rPr>
        <w:t>(主講者：台銀電子金融部經理)</w:t>
      </w:r>
    </w:p>
    <w:p w:rsidR="00325DF5" w:rsidRPr="002929F7" w:rsidRDefault="00325DF5" w:rsidP="00097328">
      <w:pPr>
        <w:pStyle w:val="a3"/>
        <w:numPr>
          <w:ilvl w:val="0"/>
          <w:numId w:val="3"/>
        </w:numPr>
        <w:snapToGrid w:val="0"/>
        <w:ind w:leftChars="0"/>
        <w:rPr>
          <w:rFonts w:ascii="微軟正黑體" w:eastAsia="微軟正黑體" w:hAnsi="微軟正黑體"/>
        </w:rPr>
      </w:pPr>
      <w:r w:rsidRPr="002929F7">
        <w:rPr>
          <w:rFonts w:ascii="微軟正黑體" w:eastAsia="微軟正黑體" w:hAnsi="微軟正黑體" w:hint="eastAsia"/>
        </w:rPr>
        <w:t>主要</w:t>
      </w:r>
      <w:r w:rsidR="00F61E4C" w:rsidRPr="002929F7">
        <w:rPr>
          <w:rFonts w:ascii="微軟正黑體" w:eastAsia="微軟正黑體" w:hAnsi="微軟正黑體" w:hint="eastAsia"/>
        </w:rPr>
        <w:t>先以各種電子支付類型來介紹其</w:t>
      </w:r>
      <w:r w:rsidRPr="002929F7">
        <w:rPr>
          <w:rFonts w:ascii="微軟正黑體" w:eastAsia="微軟正黑體" w:hAnsi="微軟正黑體" w:hint="eastAsia"/>
        </w:rPr>
        <w:t>發展的樣態，包括</w:t>
      </w:r>
      <w:r w:rsidR="00F61E4C" w:rsidRPr="002929F7">
        <w:rPr>
          <w:rFonts w:ascii="微軟正黑體" w:eastAsia="微軟正黑體" w:hAnsi="微軟正黑體" w:hint="eastAsia"/>
        </w:rPr>
        <w:t xml:space="preserve">： </w:t>
      </w:r>
    </w:p>
    <w:p w:rsidR="009F0BDA" w:rsidRPr="002929F7" w:rsidRDefault="00325DF5" w:rsidP="009F0BDA">
      <w:pPr>
        <w:pStyle w:val="a3"/>
        <w:numPr>
          <w:ilvl w:val="0"/>
          <w:numId w:val="1"/>
        </w:numPr>
        <w:snapToGrid w:val="0"/>
        <w:ind w:leftChars="0"/>
        <w:rPr>
          <w:rFonts w:ascii="微軟正黑體" w:eastAsia="微軟正黑體" w:hAnsi="微軟正黑體"/>
        </w:rPr>
      </w:pPr>
      <w:r w:rsidRPr="002929F7">
        <w:rPr>
          <w:rFonts w:ascii="微軟正黑體" w:eastAsia="微軟正黑體" w:hAnsi="微軟正黑體" w:hint="eastAsia"/>
        </w:rPr>
        <w:t>以「</w:t>
      </w:r>
      <w:r w:rsidRPr="002929F7">
        <w:rPr>
          <w:rFonts w:ascii="微軟正黑體" w:eastAsia="微軟正黑體" w:hAnsi="微軟正黑體" w:hint="eastAsia"/>
          <w:b/>
        </w:rPr>
        <w:t>資金移轉時點</w:t>
      </w:r>
      <w:r w:rsidRPr="002929F7">
        <w:rPr>
          <w:rFonts w:ascii="微軟正黑體" w:eastAsia="微軟正黑體" w:hAnsi="微軟正黑體" w:hint="eastAsia"/>
        </w:rPr>
        <w:t>」</w:t>
      </w:r>
      <w:r w:rsidR="00F61E4C" w:rsidRPr="002929F7">
        <w:rPr>
          <w:rFonts w:ascii="微軟正黑體" w:eastAsia="微軟正黑體" w:hAnsi="微軟正黑體" w:hint="eastAsia"/>
        </w:rPr>
        <w:t>(支付前、支付中、支付後)</w:t>
      </w:r>
      <w:r w:rsidRPr="002929F7">
        <w:rPr>
          <w:rFonts w:ascii="微軟正黑體" w:eastAsia="微軟正黑體" w:hAnsi="微軟正黑體" w:hint="eastAsia"/>
        </w:rPr>
        <w:t>區分</w:t>
      </w:r>
    </w:p>
    <w:p w:rsidR="009F0BDA" w:rsidRPr="002929F7" w:rsidRDefault="00EA46C9" w:rsidP="00F61E4C">
      <w:pPr>
        <w:pStyle w:val="a3"/>
        <w:numPr>
          <w:ilvl w:val="0"/>
          <w:numId w:val="1"/>
        </w:numPr>
        <w:snapToGrid w:val="0"/>
        <w:ind w:leftChars="0"/>
        <w:rPr>
          <w:rFonts w:ascii="微軟正黑體" w:eastAsia="微軟正黑體" w:hAnsi="微軟正黑體"/>
        </w:rPr>
      </w:pPr>
      <w:r w:rsidRPr="002929F7">
        <w:rPr>
          <w:rFonts w:ascii="微軟正黑體" w:eastAsia="微軟正黑體" w:hAnsi="微軟正黑體" w:hint="eastAsia"/>
        </w:rPr>
        <w:t>以「</w:t>
      </w:r>
      <w:r w:rsidRPr="002929F7">
        <w:rPr>
          <w:rFonts w:ascii="微軟正黑體" w:eastAsia="微軟正黑體" w:hAnsi="微軟正黑體" w:hint="eastAsia"/>
          <w:b/>
        </w:rPr>
        <w:t>支付工具</w:t>
      </w:r>
      <w:r w:rsidR="00F61E4C" w:rsidRPr="002929F7">
        <w:rPr>
          <w:rFonts w:ascii="微軟正黑體" w:eastAsia="微軟正黑體" w:hAnsi="微軟正黑體" w:hint="eastAsia"/>
        </w:rPr>
        <w:t>」如</w:t>
      </w:r>
      <w:r w:rsidRPr="002929F7">
        <w:rPr>
          <w:rFonts w:ascii="微軟正黑體" w:eastAsia="微軟正黑體" w:hAnsi="微軟正黑體" w:hint="eastAsia"/>
        </w:rPr>
        <w:t>卡片支付</w:t>
      </w:r>
      <w:r w:rsidR="00F61E4C" w:rsidRPr="002929F7">
        <w:rPr>
          <w:rFonts w:ascii="微軟正黑體" w:eastAsia="微軟正黑體" w:hAnsi="微軟正黑體" w:hint="eastAsia"/>
        </w:rPr>
        <w:t>、</w:t>
      </w:r>
      <w:r w:rsidRPr="002929F7">
        <w:rPr>
          <w:rFonts w:ascii="微軟正黑體" w:eastAsia="微軟正黑體" w:hAnsi="微軟正黑體" w:hint="eastAsia"/>
        </w:rPr>
        <w:t>線上支付</w:t>
      </w:r>
      <w:r w:rsidR="00F61E4C" w:rsidRPr="002929F7">
        <w:rPr>
          <w:rFonts w:ascii="微軟正黑體" w:eastAsia="微軟正黑體" w:hAnsi="微軟正黑體" w:hint="eastAsia"/>
        </w:rPr>
        <w:t>、行動載具(感應</w:t>
      </w:r>
      <w:r w:rsidR="00097328" w:rsidRPr="002929F7">
        <w:rPr>
          <w:rFonts w:ascii="微軟正黑體" w:eastAsia="微軟正黑體" w:hAnsi="微軟正黑體" w:hint="eastAsia"/>
        </w:rPr>
        <w:t>、掃碼支付</w:t>
      </w:r>
      <w:r w:rsidR="00F61E4C" w:rsidRPr="002929F7">
        <w:rPr>
          <w:rFonts w:ascii="微軟正黑體" w:eastAsia="微軟正黑體" w:hAnsi="微軟正黑體" w:hint="eastAsia"/>
        </w:rPr>
        <w:t>)</w:t>
      </w:r>
      <w:r w:rsidR="00097328" w:rsidRPr="002929F7">
        <w:rPr>
          <w:rFonts w:ascii="微軟正黑體" w:eastAsia="微軟正黑體" w:hAnsi="微軟正黑體" w:hint="eastAsia"/>
        </w:rPr>
        <w:t>區分</w:t>
      </w:r>
    </w:p>
    <w:p w:rsidR="009F0BDA" w:rsidRDefault="00097328" w:rsidP="00097328">
      <w:pPr>
        <w:pStyle w:val="a3"/>
        <w:numPr>
          <w:ilvl w:val="0"/>
          <w:numId w:val="1"/>
        </w:numPr>
        <w:snapToGrid w:val="0"/>
        <w:ind w:leftChars="0"/>
        <w:rPr>
          <w:rFonts w:ascii="微軟正黑體" w:eastAsia="微軟正黑體" w:hAnsi="微軟正黑體"/>
        </w:rPr>
      </w:pPr>
      <w:r w:rsidRPr="002929F7">
        <w:rPr>
          <w:rFonts w:ascii="微軟正黑體" w:eastAsia="微軟正黑體" w:hAnsi="微軟正黑體" w:hint="eastAsia"/>
        </w:rPr>
        <w:t>以其他支付，如禮卷、提貨卷、優惠卷、限定消費序號或授權自動扣繳區分</w:t>
      </w:r>
    </w:p>
    <w:p w:rsidR="008F2700" w:rsidRPr="002929F7" w:rsidRDefault="008F2700" w:rsidP="008F2700">
      <w:pPr>
        <w:pStyle w:val="a3"/>
        <w:snapToGrid w:val="0"/>
        <w:ind w:leftChars="0" w:left="960"/>
        <w:rPr>
          <w:rFonts w:ascii="微軟正黑體" w:eastAsia="微軟正黑體" w:hAnsi="微軟正黑體"/>
        </w:rPr>
      </w:pPr>
    </w:p>
    <w:p w:rsidR="00097328" w:rsidRPr="002929F7" w:rsidRDefault="00E04521" w:rsidP="00097328">
      <w:pPr>
        <w:pStyle w:val="a3"/>
        <w:numPr>
          <w:ilvl w:val="0"/>
          <w:numId w:val="3"/>
        </w:numPr>
        <w:snapToGrid w:val="0"/>
        <w:ind w:leftChars="0"/>
        <w:rPr>
          <w:rFonts w:ascii="微軟正黑體" w:eastAsia="微軟正黑體" w:hAnsi="微軟正黑體"/>
        </w:rPr>
      </w:pPr>
      <w:r>
        <w:rPr>
          <w:rFonts w:ascii="微軟正黑體" w:eastAsia="微軟正黑體" w:hAnsi="微軟正黑體" w:hint="eastAsia"/>
        </w:rPr>
        <w:t>再</w:t>
      </w:r>
      <w:r w:rsidR="00097328" w:rsidRPr="002929F7">
        <w:rPr>
          <w:rFonts w:ascii="微軟正黑體" w:eastAsia="微軟正黑體" w:hAnsi="微軟正黑體" w:hint="eastAsia"/>
        </w:rPr>
        <w:t>針對非銀行業</w:t>
      </w:r>
      <w:r>
        <w:rPr>
          <w:rFonts w:ascii="微軟正黑體" w:eastAsia="微軟正黑體" w:hAnsi="微軟正黑體" w:hint="eastAsia"/>
        </w:rPr>
        <w:t>之</w:t>
      </w:r>
      <w:r w:rsidR="00097328" w:rsidRPr="002929F7">
        <w:rPr>
          <w:rFonts w:ascii="微軟正黑體" w:eastAsia="微軟正黑體" w:hAnsi="微軟正黑體" w:hint="eastAsia"/>
        </w:rPr>
        <w:t>支付法規面</w:t>
      </w:r>
      <w:r>
        <w:rPr>
          <w:rFonts w:ascii="微軟正黑體" w:eastAsia="微軟正黑體" w:hAnsi="微軟正黑體" w:hint="eastAsia"/>
        </w:rPr>
        <w:t>區分</w:t>
      </w:r>
      <w:r w:rsidR="00097328" w:rsidRPr="002929F7">
        <w:rPr>
          <w:rFonts w:ascii="微軟正黑體" w:eastAsia="微軟正黑體" w:hAnsi="微軟正黑體" w:hint="eastAsia"/>
        </w:rPr>
        <w:t>：</w:t>
      </w:r>
    </w:p>
    <w:p w:rsidR="00097328" w:rsidRPr="002929F7" w:rsidRDefault="00097328" w:rsidP="00097328">
      <w:pPr>
        <w:pStyle w:val="a3"/>
        <w:numPr>
          <w:ilvl w:val="0"/>
          <w:numId w:val="5"/>
        </w:numPr>
        <w:snapToGrid w:val="0"/>
        <w:ind w:leftChars="0"/>
        <w:rPr>
          <w:rFonts w:ascii="微軟正黑體" w:eastAsia="微軟正黑體" w:hAnsi="微軟正黑體"/>
        </w:rPr>
      </w:pPr>
      <w:r w:rsidRPr="002929F7">
        <w:rPr>
          <w:rFonts w:ascii="微軟正黑體" w:eastAsia="微軟正黑體" w:hAnsi="微軟正黑體" w:hint="eastAsia"/>
          <w:b/>
        </w:rPr>
        <w:t>商品(服務)禮卷</w:t>
      </w:r>
      <w:r w:rsidRPr="002929F7">
        <w:rPr>
          <w:rFonts w:ascii="微軟正黑體" w:eastAsia="微軟正黑體" w:hAnsi="微軟正黑體" w:hint="eastAsia"/>
        </w:rPr>
        <w:t>：發行者以</w:t>
      </w:r>
      <w:r w:rsidRPr="002929F7">
        <w:rPr>
          <w:rFonts w:ascii="微軟正黑體" w:eastAsia="微軟正黑體" w:hAnsi="微軟正黑體" w:hint="eastAsia"/>
          <w:u w:val="single"/>
        </w:rPr>
        <w:t>優惠措施</w:t>
      </w:r>
      <w:r w:rsidRPr="002929F7">
        <w:rPr>
          <w:rFonts w:ascii="微軟正黑體" w:eastAsia="微軟正黑體" w:hAnsi="微軟正黑體" w:hint="eastAsia"/>
        </w:rPr>
        <w:t>吸引消費，以使提供商品或服務前可預先收到款項。</w:t>
      </w:r>
    </w:p>
    <w:p w:rsidR="00097328" w:rsidRPr="002929F7" w:rsidRDefault="00097328" w:rsidP="00097328">
      <w:pPr>
        <w:pStyle w:val="a3"/>
        <w:numPr>
          <w:ilvl w:val="0"/>
          <w:numId w:val="5"/>
        </w:numPr>
        <w:snapToGrid w:val="0"/>
        <w:ind w:leftChars="0"/>
        <w:rPr>
          <w:rFonts w:ascii="微軟正黑體" w:eastAsia="微軟正黑體" w:hAnsi="微軟正黑體"/>
        </w:rPr>
      </w:pPr>
      <w:r w:rsidRPr="002929F7">
        <w:rPr>
          <w:rFonts w:ascii="微軟正黑體" w:eastAsia="微軟正黑體" w:hAnsi="微軟正黑體" w:hint="eastAsia"/>
          <w:b/>
        </w:rPr>
        <w:t>第三方支付服務業</w:t>
      </w:r>
      <w:r w:rsidRPr="002929F7">
        <w:rPr>
          <w:rFonts w:ascii="微軟正黑體" w:eastAsia="微軟正黑體" w:hAnsi="微軟正黑體" w:hint="eastAsia"/>
        </w:rPr>
        <w:t>：主要為買賣雙方支付擔保之中介機制，僅經營</w:t>
      </w:r>
      <w:r w:rsidR="002929F7" w:rsidRPr="002929F7">
        <w:rPr>
          <w:rFonts w:ascii="微軟正黑體" w:eastAsia="微軟正黑體" w:hAnsi="微軟正黑體" w:hint="eastAsia"/>
        </w:rPr>
        <w:t>「</w:t>
      </w:r>
      <w:r w:rsidRPr="002929F7">
        <w:rPr>
          <w:rFonts w:ascii="微軟正黑體" w:eastAsia="微軟正黑體" w:hAnsi="微軟正黑體" w:hint="eastAsia"/>
          <w:u w:val="single"/>
        </w:rPr>
        <w:t>代理收付實質交易款項</w:t>
      </w:r>
      <w:r w:rsidR="002929F7" w:rsidRPr="002929F7">
        <w:rPr>
          <w:rFonts w:ascii="微軟正黑體" w:eastAsia="微軟正黑體" w:hAnsi="微軟正黑體" w:hint="eastAsia"/>
        </w:rPr>
        <w:t>」</w:t>
      </w:r>
      <w:r w:rsidRPr="002929F7">
        <w:rPr>
          <w:rFonts w:ascii="微軟正黑體" w:eastAsia="微軟正黑體" w:hAnsi="微軟正黑體" w:hint="eastAsia"/>
        </w:rPr>
        <w:t>(不可超過10億元)，如Line Pay、PchomePay、Pi拍錢包、</w:t>
      </w:r>
      <w:r w:rsidR="002929F7" w:rsidRPr="002929F7">
        <w:rPr>
          <w:rFonts w:ascii="微軟正黑體" w:eastAsia="微軟正黑體" w:hAnsi="微軟正黑體" w:hint="eastAsia"/>
        </w:rPr>
        <w:t>GOMAJI、My FamilyPay</w:t>
      </w:r>
      <w:r w:rsidR="002929F7" w:rsidRPr="002929F7">
        <w:rPr>
          <w:rFonts w:ascii="微軟正黑體" w:eastAsia="微軟正黑體" w:hAnsi="微軟正黑體"/>
        </w:rPr>
        <w:t>…</w:t>
      </w:r>
      <w:r w:rsidR="002929F7" w:rsidRPr="002929F7">
        <w:rPr>
          <w:rFonts w:ascii="微軟正黑體" w:eastAsia="微軟正黑體" w:hAnsi="微軟正黑體" w:hint="eastAsia"/>
        </w:rPr>
        <w:t>等。(主管機關：經濟部)</w:t>
      </w:r>
    </w:p>
    <w:p w:rsidR="00097328" w:rsidRPr="002929F7" w:rsidRDefault="00097328" w:rsidP="00097328">
      <w:pPr>
        <w:pStyle w:val="a3"/>
        <w:numPr>
          <w:ilvl w:val="0"/>
          <w:numId w:val="5"/>
        </w:numPr>
        <w:snapToGrid w:val="0"/>
        <w:ind w:leftChars="0"/>
        <w:rPr>
          <w:rFonts w:ascii="微軟正黑體" w:eastAsia="微軟正黑體" w:hAnsi="微軟正黑體"/>
        </w:rPr>
      </w:pPr>
      <w:r w:rsidRPr="002929F7">
        <w:rPr>
          <w:rFonts w:ascii="微軟正黑體" w:eastAsia="微軟正黑體" w:hAnsi="微軟正黑體" w:hint="eastAsia"/>
          <w:b/>
        </w:rPr>
        <w:t>電子票證機構</w:t>
      </w:r>
      <w:r w:rsidR="002929F7" w:rsidRPr="002929F7">
        <w:rPr>
          <w:rFonts w:ascii="微軟正黑體" w:eastAsia="微軟正黑體" w:hAnsi="微軟正黑體" w:hint="eastAsia"/>
        </w:rPr>
        <w:t>：為多用途支付使用工具，如悠遊卡、一卡通、i-Cash、Happy-Cash。(主管機關：金管會)</w:t>
      </w:r>
    </w:p>
    <w:p w:rsidR="00097328" w:rsidRDefault="00097328" w:rsidP="00097328">
      <w:pPr>
        <w:pStyle w:val="a3"/>
        <w:numPr>
          <w:ilvl w:val="0"/>
          <w:numId w:val="5"/>
        </w:numPr>
        <w:snapToGrid w:val="0"/>
        <w:ind w:leftChars="0"/>
        <w:rPr>
          <w:rFonts w:ascii="微軟正黑體" w:eastAsia="微軟正黑體" w:hAnsi="微軟正黑體"/>
        </w:rPr>
      </w:pPr>
      <w:r w:rsidRPr="002929F7">
        <w:rPr>
          <w:rFonts w:ascii="微軟正黑體" w:eastAsia="微軟正黑體" w:hAnsi="微軟正黑體" w:hint="eastAsia"/>
          <w:b/>
        </w:rPr>
        <w:t>電子支付機構</w:t>
      </w:r>
      <w:r w:rsidR="002929F7" w:rsidRPr="002929F7">
        <w:rPr>
          <w:rFonts w:ascii="微軟正黑體" w:eastAsia="微軟正黑體" w:hAnsi="微軟正黑體" w:hint="eastAsia"/>
        </w:rPr>
        <w:t>：以網路或電子支付平台為中介，經營</w:t>
      </w:r>
      <w:r w:rsidR="002929F7" w:rsidRPr="002929F7">
        <w:rPr>
          <w:rFonts w:ascii="微軟正黑體" w:eastAsia="微軟正黑體" w:hAnsi="微軟正黑體" w:hint="eastAsia"/>
          <w:u w:val="single"/>
        </w:rPr>
        <w:t>「代理收付實質交易款項」</w:t>
      </w:r>
      <w:r w:rsidR="002929F7" w:rsidRPr="002929F7">
        <w:rPr>
          <w:rFonts w:ascii="微軟正黑體" w:eastAsia="微軟正黑體" w:hAnsi="微軟正黑體" w:hint="eastAsia"/>
        </w:rPr>
        <w:t>、收受</w:t>
      </w:r>
      <w:r w:rsidR="002929F7" w:rsidRPr="002929F7">
        <w:rPr>
          <w:rFonts w:ascii="微軟正黑體" w:eastAsia="微軟正黑體" w:hAnsi="微軟正黑體" w:hint="eastAsia"/>
          <w:u w:val="single"/>
        </w:rPr>
        <w:t>「儲值」</w:t>
      </w:r>
      <w:r w:rsidR="002929F7" w:rsidRPr="002929F7">
        <w:rPr>
          <w:rFonts w:ascii="微軟正黑體" w:eastAsia="微軟正黑體" w:hAnsi="微軟正黑體" w:hint="eastAsia"/>
        </w:rPr>
        <w:t>款項、電子帳戶</w:t>
      </w:r>
      <w:r w:rsidR="002929F7" w:rsidRPr="002929F7">
        <w:rPr>
          <w:rFonts w:ascii="微軟正黑體" w:eastAsia="微軟正黑體" w:hAnsi="微軟正黑體" w:hint="eastAsia"/>
          <w:u w:val="single"/>
        </w:rPr>
        <w:t>「轉帳」</w:t>
      </w:r>
      <w:r w:rsidR="002929F7" w:rsidRPr="002929F7">
        <w:rPr>
          <w:rFonts w:ascii="微軟正黑體" w:eastAsia="微軟正黑體" w:hAnsi="微軟正黑體" w:hint="eastAsia"/>
        </w:rPr>
        <w:t>，如街口支付、歐付寶、橘子支、PChome國際連等</w:t>
      </w:r>
      <w:r w:rsidR="002929F7">
        <w:rPr>
          <w:rFonts w:ascii="微軟正黑體" w:eastAsia="微軟正黑體" w:hAnsi="微軟正黑體" w:hint="eastAsia"/>
        </w:rPr>
        <w:t>。</w:t>
      </w:r>
      <w:r w:rsidR="002929F7" w:rsidRPr="002929F7">
        <w:rPr>
          <w:rFonts w:ascii="微軟正黑體" w:eastAsia="微軟正黑體" w:hAnsi="微軟正黑體" w:hint="eastAsia"/>
        </w:rPr>
        <w:t>(主管機關：金管會)</w:t>
      </w:r>
    </w:p>
    <w:p w:rsidR="008F2700" w:rsidRDefault="008F2700" w:rsidP="008F2700">
      <w:pPr>
        <w:pStyle w:val="a3"/>
        <w:snapToGrid w:val="0"/>
        <w:ind w:leftChars="0" w:left="960"/>
        <w:rPr>
          <w:rFonts w:ascii="微軟正黑體" w:eastAsia="微軟正黑體" w:hAnsi="微軟正黑體"/>
        </w:rPr>
      </w:pPr>
    </w:p>
    <w:p w:rsidR="002929F7" w:rsidRDefault="00905F27" w:rsidP="002929F7">
      <w:pPr>
        <w:pStyle w:val="a3"/>
        <w:numPr>
          <w:ilvl w:val="0"/>
          <w:numId w:val="3"/>
        </w:numPr>
        <w:snapToGrid w:val="0"/>
        <w:ind w:leftChars="0"/>
        <w:rPr>
          <w:rFonts w:ascii="微軟正黑體" w:eastAsia="微軟正黑體" w:hAnsi="微軟正黑體"/>
        </w:rPr>
      </w:pPr>
      <w:r>
        <w:rPr>
          <w:rFonts w:ascii="微軟正黑體" w:eastAsia="微軟正黑體" w:hAnsi="微軟正黑體" w:hint="eastAsia"/>
        </w:rPr>
        <w:t>以及</w:t>
      </w:r>
      <w:r w:rsidR="002929F7">
        <w:rPr>
          <w:rFonts w:ascii="微軟正黑體" w:eastAsia="微軟正黑體" w:hAnsi="微軟正黑體" w:hint="eastAsia"/>
        </w:rPr>
        <w:t>行動支付技術類型：</w:t>
      </w:r>
    </w:p>
    <w:p w:rsidR="002929F7" w:rsidRDefault="002929F7" w:rsidP="002929F7">
      <w:pPr>
        <w:pStyle w:val="a3"/>
        <w:numPr>
          <w:ilvl w:val="0"/>
          <w:numId w:val="6"/>
        </w:numPr>
        <w:snapToGrid w:val="0"/>
        <w:ind w:leftChars="0"/>
        <w:rPr>
          <w:rFonts w:ascii="微軟正黑體" w:eastAsia="微軟正黑體" w:hAnsi="微軟正黑體"/>
        </w:rPr>
      </w:pPr>
      <w:r>
        <w:rPr>
          <w:rFonts w:ascii="微軟正黑體" w:eastAsia="微軟正黑體" w:hAnsi="微軟正黑體" w:hint="eastAsia"/>
        </w:rPr>
        <w:t>遠端支付：透過手機簡訊或行動APP</w:t>
      </w:r>
      <w:r w:rsidR="00E04521">
        <w:rPr>
          <w:rFonts w:ascii="微軟正黑體" w:eastAsia="微軟正黑體" w:hAnsi="微軟正黑體" w:hint="eastAsia"/>
        </w:rPr>
        <w:t>以驗證身分，並連結支付工具進行交易(連線交易作業模式)。</w:t>
      </w:r>
    </w:p>
    <w:p w:rsidR="002929F7" w:rsidRDefault="002929F7" w:rsidP="002929F7">
      <w:pPr>
        <w:pStyle w:val="a3"/>
        <w:numPr>
          <w:ilvl w:val="0"/>
          <w:numId w:val="6"/>
        </w:numPr>
        <w:snapToGrid w:val="0"/>
        <w:ind w:leftChars="0"/>
        <w:rPr>
          <w:rFonts w:ascii="微軟正黑體" w:eastAsia="微軟正黑體" w:hAnsi="微軟正黑體"/>
        </w:rPr>
      </w:pPr>
      <w:r>
        <w:rPr>
          <w:rFonts w:ascii="微軟正黑體" w:eastAsia="微軟正黑體" w:hAnsi="微軟正黑體" w:hint="eastAsia"/>
        </w:rPr>
        <w:t>近端支付</w:t>
      </w:r>
      <w:r w:rsidR="00E04521">
        <w:rPr>
          <w:rFonts w:ascii="微軟正黑體" w:eastAsia="微軟正黑體" w:hAnsi="微軟正黑體" w:hint="eastAsia"/>
        </w:rPr>
        <w:t>：將支付工具(如信用卡、金融卡、電子票證、行動錢包)介接行動裝置於實體場域進行交易(技術又分TSM、HCE架構、Token代碼服務)。</w:t>
      </w:r>
    </w:p>
    <w:p w:rsidR="008F2700" w:rsidRDefault="008F2700" w:rsidP="008F2700">
      <w:pPr>
        <w:pStyle w:val="a3"/>
        <w:snapToGrid w:val="0"/>
        <w:ind w:leftChars="0" w:left="960"/>
        <w:rPr>
          <w:rFonts w:ascii="微軟正黑體" w:eastAsia="微軟正黑體" w:hAnsi="微軟正黑體"/>
        </w:rPr>
      </w:pPr>
    </w:p>
    <w:p w:rsidR="00E04521" w:rsidRDefault="00905F27" w:rsidP="00E04521">
      <w:pPr>
        <w:pStyle w:val="a3"/>
        <w:numPr>
          <w:ilvl w:val="0"/>
          <w:numId w:val="3"/>
        </w:numPr>
        <w:snapToGrid w:val="0"/>
        <w:ind w:leftChars="0"/>
        <w:rPr>
          <w:rFonts w:ascii="微軟正黑體" w:eastAsia="微軟正黑體" w:hAnsi="微軟正黑體"/>
        </w:rPr>
      </w:pPr>
      <w:r>
        <w:rPr>
          <w:rFonts w:ascii="微軟正黑體" w:eastAsia="微軟正黑體" w:hAnsi="微軟正黑體" w:hint="eastAsia"/>
        </w:rPr>
        <w:t>最後</w:t>
      </w:r>
      <w:r w:rsidR="00E04521">
        <w:rPr>
          <w:rFonts w:ascii="微軟正黑體" w:eastAsia="微軟正黑體" w:hAnsi="微軟正黑體" w:hint="eastAsia"/>
        </w:rPr>
        <w:t>說明：國內行動支付</w:t>
      </w:r>
      <w:r>
        <w:rPr>
          <w:rFonts w:ascii="微軟正黑體" w:eastAsia="微軟正黑體" w:hAnsi="微軟正黑體" w:hint="eastAsia"/>
        </w:rPr>
        <w:t>業者</w:t>
      </w:r>
      <w:r w:rsidR="00E04521">
        <w:rPr>
          <w:rFonts w:ascii="微軟正黑體" w:eastAsia="微軟正黑體" w:hAnsi="微軟正黑體" w:hint="eastAsia"/>
        </w:rPr>
        <w:t>百家爭鳴</w:t>
      </w:r>
      <w:r>
        <w:rPr>
          <w:rFonts w:ascii="微軟正黑體" w:eastAsia="微軟正黑體" w:hAnsi="微軟正黑體" w:hint="eastAsia"/>
        </w:rPr>
        <w:t>，支付類型多元</w:t>
      </w:r>
      <w:r w:rsidR="00E04521">
        <w:rPr>
          <w:rFonts w:ascii="微軟正黑體" w:eastAsia="微軟正黑體" w:hAnsi="微軟正黑體" w:hint="eastAsia"/>
        </w:rPr>
        <w:t>(LinePay、街口支付、台灣Pay</w:t>
      </w:r>
      <w:r w:rsidR="00E04521">
        <w:rPr>
          <w:rFonts w:ascii="微軟正黑體" w:eastAsia="微軟正黑體" w:hAnsi="微軟正黑體"/>
        </w:rPr>
        <w:t>…</w:t>
      </w:r>
      <w:r w:rsidR="00E04521">
        <w:rPr>
          <w:rFonts w:ascii="微軟正黑體" w:eastAsia="微軟正黑體" w:hAnsi="微軟正黑體" w:hint="eastAsia"/>
        </w:rPr>
        <w:t>等)，但如何建立國家級共通支付標準，或整合共通的QR Code，成為TW</w:t>
      </w:r>
      <w:r>
        <w:rPr>
          <w:rFonts w:ascii="微軟正黑體" w:eastAsia="微軟正黑體" w:hAnsi="微軟正黑體" w:hint="eastAsia"/>
        </w:rPr>
        <w:t>QR，才有助於國際接軌。</w:t>
      </w:r>
    </w:p>
    <w:p w:rsidR="008F2700" w:rsidRDefault="008F2700" w:rsidP="008F2700">
      <w:pPr>
        <w:pStyle w:val="a3"/>
        <w:snapToGrid w:val="0"/>
        <w:ind w:leftChars="0"/>
        <w:rPr>
          <w:rFonts w:ascii="微軟正黑體" w:eastAsia="微軟正黑體" w:hAnsi="微軟正黑體"/>
        </w:rPr>
      </w:pPr>
    </w:p>
    <w:p w:rsidR="00905F27" w:rsidRDefault="00905F27" w:rsidP="00E04521">
      <w:pPr>
        <w:pStyle w:val="a3"/>
        <w:numPr>
          <w:ilvl w:val="0"/>
          <w:numId w:val="3"/>
        </w:numPr>
        <w:snapToGrid w:val="0"/>
        <w:ind w:leftChars="0"/>
        <w:rPr>
          <w:rFonts w:ascii="微軟正黑體" w:eastAsia="微軟正黑體" w:hAnsi="微軟正黑體"/>
        </w:rPr>
      </w:pPr>
      <w:r>
        <w:rPr>
          <w:rFonts w:ascii="微軟正黑體" w:eastAsia="微軟正黑體" w:hAnsi="微軟正黑體" w:hint="eastAsia"/>
        </w:rPr>
        <w:t>課程中討論想法：目前電子票證或電子支付業者名聲雖大(如LinePay、街口支付等)，但非與實際獲利畫上等號(虧錢居多)，目前均以優惠的方式吸引大眾使用，故絕非長久之道，因此支付業者如何隨科技演進，並同時找出真正獲利營運模式將是</w:t>
      </w:r>
      <w:r w:rsidR="00545EB4">
        <w:rPr>
          <w:rFonts w:ascii="微軟正黑體" w:eastAsia="微軟正黑體" w:hAnsi="微軟正黑體" w:hint="eastAsia"/>
        </w:rPr>
        <w:t>未來長存</w:t>
      </w:r>
      <w:r>
        <w:rPr>
          <w:rFonts w:ascii="微軟正黑體" w:eastAsia="微軟正黑體" w:hAnsi="微軟正黑體" w:hint="eastAsia"/>
        </w:rPr>
        <w:t>之關鍵。</w:t>
      </w:r>
    </w:p>
    <w:p w:rsidR="00545EB4" w:rsidRDefault="00545EB4">
      <w:pPr>
        <w:widowControl/>
        <w:rPr>
          <w:rFonts w:ascii="微軟正黑體" w:eastAsia="微軟正黑體" w:hAnsi="微軟正黑體"/>
        </w:rPr>
      </w:pPr>
      <w:r>
        <w:rPr>
          <w:rFonts w:ascii="微軟正黑體" w:eastAsia="微軟正黑體" w:hAnsi="微軟正黑體"/>
        </w:rPr>
        <w:br w:type="page"/>
      </w:r>
    </w:p>
    <w:p w:rsidR="00545EB4" w:rsidRDefault="00545EB4" w:rsidP="00545EB4">
      <w:pPr>
        <w:snapToGrid w:val="0"/>
        <w:jc w:val="center"/>
        <w:rPr>
          <w:rFonts w:ascii="微軟正黑體" w:eastAsia="微軟正黑體" w:hAnsi="微軟正黑體"/>
          <w:b/>
        </w:rPr>
      </w:pPr>
      <w:r>
        <w:rPr>
          <w:rFonts w:ascii="微軟正黑體" w:eastAsia="微軟正黑體" w:hAnsi="微軟正黑體" w:hint="eastAsia"/>
          <w:b/>
        </w:rPr>
        <w:lastRenderedPageBreak/>
        <w:t>2019/</w:t>
      </w:r>
      <w:r w:rsidRPr="00325DF5">
        <w:rPr>
          <w:rFonts w:ascii="微軟正黑體" w:eastAsia="微軟正黑體" w:hAnsi="微軟正黑體" w:hint="eastAsia"/>
          <w:b/>
        </w:rPr>
        <w:t xml:space="preserve">10/28 </w:t>
      </w:r>
      <w:r>
        <w:rPr>
          <w:rFonts w:ascii="微軟正黑體" w:eastAsia="微軟正黑體" w:hAnsi="微軟正黑體" w:hint="eastAsia"/>
          <w:b/>
        </w:rPr>
        <w:t>下午</w:t>
      </w:r>
      <w:r w:rsidRPr="00325DF5">
        <w:rPr>
          <w:rFonts w:ascii="微軟正黑體" w:eastAsia="微軟正黑體" w:hAnsi="微軟正黑體" w:hint="eastAsia"/>
          <w:b/>
        </w:rPr>
        <w:t>主題：</w:t>
      </w:r>
      <w:r>
        <w:rPr>
          <w:rFonts w:ascii="微軟正黑體" w:eastAsia="微軟正黑體" w:hAnsi="微軟正黑體" w:hint="eastAsia"/>
          <w:b/>
        </w:rPr>
        <w:t>區塊鏈技術與虛擬貨幣之發展</w:t>
      </w:r>
    </w:p>
    <w:p w:rsidR="008F2700" w:rsidRDefault="00545EB4" w:rsidP="008F2700">
      <w:pPr>
        <w:jc w:val="center"/>
        <w:rPr>
          <w:rFonts w:ascii="微軟正黑體" w:eastAsia="微軟正黑體" w:hAnsi="微軟正黑體"/>
          <w:b/>
        </w:rPr>
      </w:pPr>
      <w:r>
        <w:rPr>
          <w:rFonts w:ascii="微軟正黑體" w:eastAsia="微軟正黑體" w:hAnsi="微軟正黑體" w:hint="eastAsia"/>
          <w:b/>
        </w:rPr>
        <w:t>(主講者：金融研訓院2019菁英講座教授-盧瑞山教授)</w:t>
      </w:r>
    </w:p>
    <w:p w:rsidR="00545EB4" w:rsidRPr="008443F0" w:rsidRDefault="00545EB4" w:rsidP="008443F0">
      <w:pPr>
        <w:pStyle w:val="a3"/>
        <w:numPr>
          <w:ilvl w:val="0"/>
          <w:numId w:val="10"/>
        </w:numPr>
        <w:snapToGrid w:val="0"/>
        <w:ind w:leftChars="0"/>
        <w:rPr>
          <w:rFonts w:ascii="微軟正黑體" w:eastAsia="微軟正黑體" w:hAnsi="微軟正黑體"/>
        </w:rPr>
      </w:pPr>
      <w:r w:rsidRPr="008443F0">
        <w:rPr>
          <w:rFonts w:ascii="微軟正黑體" w:eastAsia="微軟正黑體" w:hAnsi="微軟正黑體" w:hint="eastAsia"/>
        </w:rPr>
        <w:t>首要說明「區塊鏈技術」為一項典範轉移技術，並以英國1865年的紅旗法案(Red Flag Act)來強調未跟上此技術將處於落後階段。因區塊鏈</w:t>
      </w:r>
      <w:r w:rsidR="00282A59" w:rsidRPr="008443F0">
        <w:rPr>
          <w:rFonts w:ascii="微軟正黑體" w:eastAsia="微軟正黑體" w:hAnsi="微軟正黑體" w:hint="eastAsia"/>
        </w:rPr>
        <w:t>最成功的應用與產品為「比特幣」，故</w:t>
      </w:r>
      <w:r w:rsidR="00E0599D">
        <w:rPr>
          <w:rFonts w:ascii="微軟正黑體" w:eastAsia="微軟正黑體" w:hAnsi="微軟正黑體" w:hint="eastAsia"/>
        </w:rPr>
        <w:t>盧教授</w:t>
      </w:r>
      <w:r w:rsidR="00282A59" w:rsidRPr="008443F0">
        <w:rPr>
          <w:rFonts w:ascii="微軟正黑體" w:eastAsia="微軟正黑體" w:hAnsi="微軟正黑體" w:hint="eastAsia"/>
        </w:rPr>
        <w:t>提出其四項歷史地位：</w:t>
      </w:r>
    </w:p>
    <w:p w:rsidR="00282A59" w:rsidRDefault="00282A59" w:rsidP="00282A59">
      <w:pPr>
        <w:pStyle w:val="a3"/>
        <w:numPr>
          <w:ilvl w:val="0"/>
          <w:numId w:val="8"/>
        </w:numPr>
        <w:snapToGrid w:val="0"/>
        <w:ind w:leftChars="0"/>
        <w:rPr>
          <w:rFonts w:ascii="微軟正黑體" w:eastAsia="微軟正黑體" w:hAnsi="微軟正黑體"/>
        </w:rPr>
      </w:pPr>
      <w:r>
        <w:rPr>
          <w:rFonts w:ascii="微軟正黑體" w:eastAsia="微軟正黑體" w:hAnsi="微軟正黑體" w:hint="eastAsia"/>
        </w:rPr>
        <w:t>人類文明歷史上的第一套全球權威帳本：帳本全世界共用</w:t>
      </w:r>
    </w:p>
    <w:p w:rsidR="00282A59" w:rsidRDefault="00282A59" w:rsidP="00282A59">
      <w:pPr>
        <w:pStyle w:val="a3"/>
        <w:numPr>
          <w:ilvl w:val="0"/>
          <w:numId w:val="8"/>
        </w:numPr>
        <w:snapToGrid w:val="0"/>
        <w:ind w:leftChars="0"/>
        <w:rPr>
          <w:rFonts w:ascii="微軟正黑體" w:eastAsia="微軟正黑體" w:hAnsi="微軟正黑體"/>
        </w:rPr>
      </w:pPr>
      <w:r>
        <w:rPr>
          <w:rFonts w:ascii="微軟正黑體" w:eastAsia="微軟正黑體" w:hAnsi="微軟正黑體" w:hint="eastAsia"/>
        </w:rPr>
        <w:t>人類文明歷史上的第一套點對點(P2P)的支付系統：無第三方中介機構</w:t>
      </w:r>
    </w:p>
    <w:p w:rsidR="00282A59" w:rsidRDefault="00282A59" w:rsidP="00282A59">
      <w:pPr>
        <w:pStyle w:val="a3"/>
        <w:numPr>
          <w:ilvl w:val="0"/>
          <w:numId w:val="8"/>
        </w:numPr>
        <w:snapToGrid w:val="0"/>
        <w:ind w:leftChars="0"/>
        <w:rPr>
          <w:rFonts w:ascii="微軟正黑體" w:eastAsia="微軟正黑體" w:hAnsi="微軟正黑體"/>
        </w:rPr>
      </w:pPr>
      <w:r>
        <w:rPr>
          <w:rFonts w:ascii="微軟正黑體" w:eastAsia="微軟正黑體" w:hAnsi="微軟正黑體" w:hint="eastAsia"/>
        </w:rPr>
        <w:t>人類文明歷史上把資產管理權下放到每個人手裡：自己擁有私鑰管理資產，無人可凍結您的資產。</w:t>
      </w:r>
    </w:p>
    <w:p w:rsidR="00282A59" w:rsidRDefault="00282A59" w:rsidP="00282A59">
      <w:pPr>
        <w:pStyle w:val="a3"/>
        <w:numPr>
          <w:ilvl w:val="0"/>
          <w:numId w:val="8"/>
        </w:numPr>
        <w:snapToGrid w:val="0"/>
        <w:ind w:leftChars="0"/>
        <w:rPr>
          <w:rFonts w:ascii="微軟正黑體" w:eastAsia="微軟正黑體" w:hAnsi="微軟正黑體"/>
        </w:rPr>
      </w:pPr>
      <w:r>
        <w:rPr>
          <w:rFonts w:ascii="微軟正黑體" w:eastAsia="微軟正黑體" w:hAnsi="微軟正黑體" w:hint="eastAsia"/>
        </w:rPr>
        <w:t>世界上無任何產業、國家、財團能隻手遮天控制此金融系統。</w:t>
      </w:r>
    </w:p>
    <w:p w:rsidR="00282A59" w:rsidRDefault="00282A59" w:rsidP="00282A59">
      <w:pPr>
        <w:pStyle w:val="a3"/>
        <w:numPr>
          <w:ilvl w:val="0"/>
          <w:numId w:val="8"/>
        </w:numPr>
        <w:snapToGrid w:val="0"/>
        <w:ind w:leftChars="0"/>
        <w:rPr>
          <w:rFonts w:ascii="微軟正黑體" w:eastAsia="微軟正黑體" w:hAnsi="微軟正黑體"/>
        </w:rPr>
      </w:pPr>
      <w:r>
        <w:rPr>
          <w:rFonts w:ascii="微軟正黑體" w:eastAsia="微軟正黑體" w:hAnsi="微軟正黑體" w:hint="eastAsia"/>
        </w:rPr>
        <w:t>比特幣定量發行2100萬枚，永不增發、不生利息、沒有通貨膨脹問題。</w:t>
      </w:r>
    </w:p>
    <w:p w:rsidR="0080058D" w:rsidRDefault="0080058D" w:rsidP="0080058D">
      <w:pPr>
        <w:pStyle w:val="a3"/>
        <w:snapToGrid w:val="0"/>
        <w:ind w:leftChars="0" w:left="960"/>
        <w:rPr>
          <w:rFonts w:ascii="微軟正黑體" w:eastAsia="微軟正黑體" w:hAnsi="微軟正黑體"/>
        </w:rPr>
      </w:pPr>
    </w:p>
    <w:p w:rsidR="00282A59" w:rsidRDefault="0080058D" w:rsidP="0080058D">
      <w:pPr>
        <w:pStyle w:val="a3"/>
        <w:numPr>
          <w:ilvl w:val="0"/>
          <w:numId w:val="10"/>
        </w:numPr>
        <w:snapToGrid w:val="0"/>
        <w:ind w:leftChars="0"/>
        <w:rPr>
          <w:rFonts w:ascii="微軟正黑體" w:eastAsia="微軟正黑體" w:hAnsi="微軟正黑體"/>
        </w:rPr>
      </w:pPr>
      <w:r>
        <w:rPr>
          <w:rFonts w:ascii="微軟正黑體" w:eastAsia="微軟正黑體" w:hAnsi="微軟正黑體" w:hint="eastAsia"/>
        </w:rPr>
        <w:t>比特幣</w:t>
      </w:r>
      <w:r w:rsidR="00E0599D">
        <w:rPr>
          <w:rFonts w:ascii="微軟正黑體" w:eastAsia="微軟正黑體" w:hAnsi="微軟正黑體" w:hint="eastAsia"/>
        </w:rPr>
        <w:t>介紹與目前全球</w:t>
      </w:r>
      <w:r>
        <w:rPr>
          <w:rFonts w:ascii="微軟正黑體" w:eastAsia="微軟正黑體" w:hAnsi="微軟正黑體" w:hint="eastAsia"/>
        </w:rPr>
        <w:t>發展：</w:t>
      </w:r>
    </w:p>
    <w:p w:rsidR="008F2700" w:rsidRDefault="000E296A" w:rsidP="008F2700">
      <w:pPr>
        <w:pStyle w:val="a3"/>
        <w:numPr>
          <w:ilvl w:val="1"/>
          <w:numId w:val="10"/>
        </w:numPr>
        <w:snapToGrid w:val="0"/>
        <w:ind w:leftChars="0"/>
        <w:rPr>
          <w:rFonts w:ascii="微軟正黑體" w:eastAsia="微軟正黑體" w:hAnsi="微軟正黑體"/>
        </w:rPr>
      </w:pPr>
      <w:r>
        <w:rPr>
          <w:rFonts w:ascii="微軟正黑體" w:eastAsia="微軟正黑體" w:hAnsi="微軟正黑體" w:hint="eastAsia"/>
        </w:rPr>
        <w:t>比特幣不靠特地貨幣機構發行，而是依據特</w:t>
      </w:r>
      <w:r w:rsidR="008F2700">
        <w:rPr>
          <w:rFonts w:ascii="微軟正黑體" w:eastAsia="微軟正黑體" w:hAnsi="微軟正黑體" w:hint="eastAsia"/>
        </w:rPr>
        <w:t>定演算法，透過大量競爭計算產生，即俗稱挖礦產出新的比特幣。</w:t>
      </w:r>
    </w:p>
    <w:p w:rsidR="00E0599D" w:rsidRDefault="00E0599D" w:rsidP="00E0599D">
      <w:pPr>
        <w:pStyle w:val="a3"/>
        <w:numPr>
          <w:ilvl w:val="1"/>
          <w:numId w:val="10"/>
        </w:numPr>
        <w:snapToGrid w:val="0"/>
        <w:ind w:leftChars="0"/>
        <w:rPr>
          <w:rFonts w:ascii="微軟正黑體" w:eastAsia="微軟正黑體" w:hAnsi="微軟正黑體"/>
        </w:rPr>
      </w:pPr>
      <w:r>
        <w:rPr>
          <w:rFonts w:ascii="微軟正黑體" w:eastAsia="微軟正黑體" w:hAnsi="微軟正黑體" w:hint="eastAsia"/>
        </w:rPr>
        <w:t>網路上每個運行比特幣錢包軟體的人都有權利去競爭最近十分鐘交易紀錄的記帳權，誰運算速度快，紀錄交易最正確，就獲得報酬(從2010年開始，取得記帳權即獲得50枚新產生比特幣，每四年減半一次)。</w:t>
      </w:r>
    </w:p>
    <w:p w:rsidR="00E0599D" w:rsidRPr="00E0599D" w:rsidRDefault="00E0599D" w:rsidP="00E0599D">
      <w:pPr>
        <w:pStyle w:val="a3"/>
        <w:numPr>
          <w:ilvl w:val="1"/>
          <w:numId w:val="10"/>
        </w:numPr>
        <w:snapToGrid w:val="0"/>
        <w:ind w:leftChars="0"/>
        <w:rPr>
          <w:rFonts w:ascii="微軟正黑體" w:eastAsia="微軟正黑體" w:hAnsi="微軟正黑體"/>
        </w:rPr>
      </w:pPr>
      <w:r>
        <w:rPr>
          <w:rFonts w:ascii="微軟正黑體" w:eastAsia="微軟正黑體" w:hAnsi="微軟正黑體" w:hint="eastAsia"/>
        </w:rPr>
        <w:t>依照演算法設計的生產速度，約2140年會全部發行出來，約2100萬枚。</w:t>
      </w:r>
    </w:p>
    <w:p w:rsidR="0080058D" w:rsidRPr="008F2700" w:rsidRDefault="008F2700" w:rsidP="008F2700">
      <w:pPr>
        <w:pStyle w:val="a3"/>
        <w:numPr>
          <w:ilvl w:val="1"/>
          <w:numId w:val="10"/>
        </w:numPr>
        <w:snapToGrid w:val="0"/>
        <w:ind w:leftChars="0"/>
        <w:rPr>
          <w:rFonts w:ascii="微軟正黑體" w:eastAsia="微軟正黑體" w:hAnsi="微軟正黑體"/>
        </w:rPr>
      </w:pPr>
      <w:r>
        <w:rPr>
          <w:rFonts w:ascii="微軟正黑體" w:eastAsia="微軟正黑體" w:hAnsi="微軟正黑體" w:hint="eastAsia"/>
        </w:rPr>
        <w:t>目前</w:t>
      </w:r>
      <w:r w:rsidR="0080058D">
        <w:rPr>
          <w:rFonts w:ascii="微軟正黑體" w:eastAsia="微軟正黑體" w:hAnsi="微軟正黑體" w:hint="eastAsia"/>
        </w:rPr>
        <w:t>約11,000~12,000個節點，每個節點無大小、階級之</w:t>
      </w:r>
      <w:r>
        <w:rPr>
          <w:rFonts w:ascii="微軟正黑體" w:eastAsia="微軟正黑體" w:hAnsi="微軟正黑體" w:hint="eastAsia"/>
        </w:rPr>
        <w:t>分；</w:t>
      </w:r>
      <w:r w:rsidR="0080058D" w:rsidRPr="008F2700">
        <w:rPr>
          <w:rFonts w:ascii="微軟正黑體" w:eastAsia="微軟正黑體" w:hAnsi="微軟正黑體" w:hint="eastAsia"/>
        </w:rPr>
        <w:t>安全性極高(駭客攻破一個節點，還有千千萬萬個節點)</w:t>
      </w:r>
      <w:r>
        <w:rPr>
          <w:rFonts w:ascii="微軟正黑體" w:eastAsia="微軟正黑體" w:hAnsi="微軟正黑體" w:hint="eastAsia"/>
        </w:rPr>
        <w:t>。</w:t>
      </w:r>
    </w:p>
    <w:p w:rsidR="008F2700" w:rsidRDefault="0080058D" w:rsidP="00E0599D">
      <w:pPr>
        <w:pStyle w:val="a3"/>
        <w:numPr>
          <w:ilvl w:val="1"/>
          <w:numId w:val="10"/>
        </w:numPr>
        <w:snapToGrid w:val="0"/>
        <w:ind w:leftChars="0"/>
        <w:rPr>
          <w:rFonts w:ascii="微軟正黑體" w:eastAsia="微軟正黑體" w:hAnsi="微軟正黑體"/>
        </w:rPr>
      </w:pPr>
      <w:r>
        <w:rPr>
          <w:rFonts w:ascii="微軟正黑體" w:eastAsia="微軟正黑體" w:hAnsi="微軟正黑體" w:hint="eastAsia"/>
        </w:rPr>
        <w:t>每10分鐘到帳且結算，並將交易紀錄打包成一個區塊(Block)</w:t>
      </w:r>
      <w:r w:rsidR="00E0599D">
        <w:rPr>
          <w:rFonts w:ascii="微軟正黑體" w:eastAsia="微軟正黑體" w:hAnsi="微軟正黑體" w:hint="eastAsia"/>
        </w:rPr>
        <w:t>，特色為</w:t>
      </w:r>
      <w:r w:rsidR="008F2700" w:rsidRPr="00E0599D">
        <w:rPr>
          <w:rFonts w:ascii="微軟正黑體" w:eastAsia="微軟正黑體" w:hAnsi="微軟正黑體" w:hint="eastAsia"/>
        </w:rPr>
        <w:t>分散式帳本技術(指經由不同人記帳，以示公正性)。</w:t>
      </w:r>
    </w:p>
    <w:p w:rsidR="00E0599D" w:rsidRPr="00E0599D" w:rsidRDefault="00E0599D" w:rsidP="00E0599D">
      <w:pPr>
        <w:pStyle w:val="a3"/>
        <w:snapToGrid w:val="0"/>
        <w:ind w:leftChars="0" w:left="960"/>
        <w:rPr>
          <w:rFonts w:ascii="微軟正黑體" w:eastAsia="微軟正黑體" w:hAnsi="微軟正黑體"/>
        </w:rPr>
      </w:pPr>
    </w:p>
    <w:p w:rsidR="00282A59" w:rsidRDefault="00282A59" w:rsidP="008443F0">
      <w:pPr>
        <w:pStyle w:val="a3"/>
        <w:numPr>
          <w:ilvl w:val="0"/>
          <w:numId w:val="10"/>
        </w:numPr>
        <w:snapToGrid w:val="0"/>
        <w:ind w:leftChars="0"/>
        <w:rPr>
          <w:rFonts w:ascii="微軟正黑體" w:eastAsia="微軟正黑體" w:hAnsi="微軟正黑體"/>
        </w:rPr>
      </w:pPr>
      <w:r>
        <w:rPr>
          <w:rFonts w:ascii="微軟正黑體" w:eastAsia="微軟正黑體" w:hAnsi="微軟正黑體" w:hint="eastAsia"/>
        </w:rPr>
        <w:t>區塊鏈</w:t>
      </w:r>
      <w:r w:rsidR="008443F0">
        <w:rPr>
          <w:rFonts w:ascii="微軟正黑體" w:eastAsia="微軟正黑體" w:hAnsi="微軟正黑體" w:hint="eastAsia"/>
        </w:rPr>
        <w:t>的</w:t>
      </w:r>
      <w:r>
        <w:rPr>
          <w:rFonts w:ascii="微軟正黑體" w:eastAsia="微軟正黑體" w:hAnsi="微軟正黑體" w:hint="eastAsia"/>
        </w:rPr>
        <w:t>三大領域：</w:t>
      </w:r>
    </w:p>
    <w:p w:rsidR="00282A59" w:rsidRDefault="008443F0" w:rsidP="00282A59">
      <w:pPr>
        <w:pStyle w:val="a3"/>
        <w:numPr>
          <w:ilvl w:val="0"/>
          <w:numId w:val="9"/>
        </w:numPr>
        <w:snapToGrid w:val="0"/>
        <w:ind w:leftChars="0"/>
        <w:rPr>
          <w:rFonts w:ascii="微軟正黑體" w:eastAsia="微軟正黑體" w:hAnsi="微軟正黑體"/>
        </w:rPr>
      </w:pPr>
      <w:r>
        <w:rPr>
          <w:rFonts w:ascii="微軟正黑體" w:eastAsia="微軟正黑體" w:hAnsi="微軟正黑體" w:hint="eastAsia"/>
        </w:rPr>
        <w:t>幣圈：以區塊鏈技術發展貨幣。</w:t>
      </w:r>
    </w:p>
    <w:p w:rsidR="008443F0" w:rsidRPr="008443F0" w:rsidRDefault="008443F0" w:rsidP="008443F0">
      <w:pPr>
        <w:pStyle w:val="a3"/>
        <w:numPr>
          <w:ilvl w:val="0"/>
          <w:numId w:val="9"/>
        </w:numPr>
        <w:snapToGrid w:val="0"/>
        <w:ind w:leftChars="0"/>
        <w:rPr>
          <w:rFonts w:ascii="微軟正黑體" w:eastAsia="微軟正黑體" w:hAnsi="微軟正黑體"/>
        </w:rPr>
      </w:pPr>
      <w:r>
        <w:rPr>
          <w:rFonts w:ascii="微軟正黑體" w:eastAsia="微軟正黑體" w:hAnsi="微軟正黑體" w:hint="eastAsia"/>
        </w:rPr>
        <w:t>礦圈：所謂「挖礦」，即</w:t>
      </w:r>
      <w:r>
        <w:rPr>
          <w:rFonts w:ascii="微軟正黑體" w:eastAsia="微軟正黑體" w:hAnsi="微軟正黑體"/>
        </w:rPr>
        <w:t>“</w:t>
      </w:r>
      <w:r>
        <w:rPr>
          <w:rFonts w:ascii="微軟正黑體" w:eastAsia="微軟正黑體" w:hAnsi="微軟正黑體" w:hint="eastAsia"/>
        </w:rPr>
        <w:t>搶到記帳權可獲得報酬</w:t>
      </w:r>
      <w:r>
        <w:rPr>
          <w:rFonts w:ascii="微軟正黑體" w:eastAsia="微軟正黑體" w:hAnsi="微軟正黑體"/>
        </w:rPr>
        <w:t>”</w:t>
      </w:r>
      <w:r>
        <w:rPr>
          <w:rFonts w:ascii="微軟正黑體" w:eastAsia="微軟正黑體" w:hAnsi="微軟正黑體" w:hint="eastAsia"/>
        </w:rPr>
        <w:t>，故稱之挖到礦。</w:t>
      </w:r>
    </w:p>
    <w:p w:rsidR="008443F0" w:rsidRPr="00282A59" w:rsidRDefault="008443F0" w:rsidP="00282A59">
      <w:pPr>
        <w:pStyle w:val="a3"/>
        <w:numPr>
          <w:ilvl w:val="0"/>
          <w:numId w:val="9"/>
        </w:numPr>
        <w:snapToGrid w:val="0"/>
        <w:ind w:leftChars="0"/>
        <w:rPr>
          <w:rFonts w:ascii="微軟正黑體" w:eastAsia="微軟正黑體" w:hAnsi="微軟正黑體"/>
        </w:rPr>
      </w:pPr>
      <w:r>
        <w:rPr>
          <w:rFonts w:ascii="微軟正黑體" w:eastAsia="微軟正黑體" w:hAnsi="微軟正黑體" w:hint="eastAsia"/>
        </w:rPr>
        <w:t>鏈圈：以區塊鏈技術來改善業務流程。</w:t>
      </w:r>
    </w:p>
    <w:p w:rsidR="00282A59" w:rsidRDefault="00282A59" w:rsidP="008443F0">
      <w:pPr>
        <w:snapToGrid w:val="0"/>
        <w:rPr>
          <w:rFonts w:ascii="微軟正黑體" w:eastAsia="微軟正黑體" w:hAnsi="微軟正黑體"/>
        </w:rPr>
      </w:pPr>
    </w:p>
    <w:p w:rsidR="008443F0" w:rsidRDefault="008443F0" w:rsidP="008443F0">
      <w:pPr>
        <w:pStyle w:val="a3"/>
        <w:numPr>
          <w:ilvl w:val="0"/>
          <w:numId w:val="10"/>
        </w:numPr>
        <w:snapToGrid w:val="0"/>
        <w:ind w:leftChars="0"/>
        <w:rPr>
          <w:rFonts w:ascii="微軟正黑體" w:eastAsia="微軟正黑體" w:hAnsi="微軟正黑體"/>
        </w:rPr>
      </w:pPr>
      <w:r>
        <w:rPr>
          <w:rFonts w:ascii="微軟正黑體" w:eastAsia="微軟正黑體" w:hAnsi="微軟正黑體" w:hint="eastAsia"/>
        </w:rPr>
        <w:t>區塊鏈1.0分</w:t>
      </w:r>
      <w:r w:rsidR="00C5168E">
        <w:rPr>
          <w:rFonts w:ascii="微軟正黑體" w:eastAsia="微軟正黑體" w:hAnsi="微軟正黑體" w:hint="eastAsia"/>
        </w:rPr>
        <w:t>為三種鏈</w:t>
      </w:r>
      <w:r>
        <w:rPr>
          <w:rFonts w:ascii="微軟正黑體" w:eastAsia="微軟正黑體" w:hAnsi="微軟正黑體" w:hint="eastAsia"/>
        </w:rPr>
        <w:t>：</w:t>
      </w:r>
    </w:p>
    <w:p w:rsidR="008443F0" w:rsidRDefault="00282A59" w:rsidP="008443F0">
      <w:pPr>
        <w:pStyle w:val="a3"/>
        <w:numPr>
          <w:ilvl w:val="1"/>
          <w:numId w:val="10"/>
        </w:numPr>
        <w:snapToGrid w:val="0"/>
        <w:ind w:leftChars="0"/>
        <w:rPr>
          <w:rFonts w:ascii="微軟正黑體" w:eastAsia="微軟正黑體" w:hAnsi="微軟正黑體"/>
        </w:rPr>
      </w:pPr>
      <w:r>
        <w:rPr>
          <w:rFonts w:ascii="微軟正黑體" w:eastAsia="微軟正黑體" w:hAnsi="微軟正黑體" w:hint="eastAsia"/>
        </w:rPr>
        <w:t>全球公有鏈</w:t>
      </w:r>
      <w:r w:rsidR="008443F0">
        <w:rPr>
          <w:rFonts w:ascii="微軟正黑體" w:eastAsia="微軟正黑體" w:hAnsi="微軟正黑體" w:hint="eastAsia"/>
        </w:rPr>
        <w:t>：對象全世界皆可進出。</w:t>
      </w:r>
    </w:p>
    <w:p w:rsidR="008443F0" w:rsidRDefault="00282A59" w:rsidP="008443F0">
      <w:pPr>
        <w:pStyle w:val="a3"/>
        <w:numPr>
          <w:ilvl w:val="1"/>
          <w:numId w:val="10"/>
        </w:numPr>
        <w:snapToGrid w:val="0"/>
        <w:ind w:leftChars="0"/>
        <w:rPr>
          <w:rFonts w:ascii="微軟正黑體" w:eastAsia="微軟正黑體" w:hAnsi="微軟正黑體"/>
        </w:rPr>
      </w:pPr>
      <w:r>
        <w:rPr>
          <w:rFonts w:ascii="微軟正黑體" w:eastAsia="微軟正黑體" w:hAnsi="微軟正黑體" w:hint="eastAsia"/>
        </w:rPr>
        <w:t>私有</w:t>
      </w:r>
      <w:r w:rsidR="008443F0">
        <w:rPr>
          <w:rFonts w:ascii="微軟正黑體" w:eastAsia="微軟正黑體" w:hAnsi="微軟正黑體" w:hint="eastAsia"/>
        </w:rPr>
        <w:t>鏈：對象有限制(許可制)，如單一企業內部的區塊鏈。</w:t>
      </w:r>
    </w:p>
    <w:p w:rsidR="00193DEA" w:rsidRPr="00193DEA" w:rsidRDefault="00282A59" w:rsidP="00193DEA">
      <w:pPr>
        <w:pStyle w:val="a3"/>
        <w:numPr>
          <w:ilvl w:val="1"/>
          <w:numId w:val="10"/>
        </w:numPr>
        <w:snapToGrid w:val="0"/>
        <w:ind w:leftChars="0"/>
        <w:rPr>
          <w:rFonts w:ascii="微軟正黑體" w:eastAsia="微軟正黑體" w:hAnsi="微軟正黑體"/>
        </w:rPr>
      </w:pPr>
      <w:r>
        <w:rPr>
          <w:rFonts w:ascii="微軟正黑體" w:eastAsia="微軟正黑體" w:hAnsi="微軟正黑體" w:hint="eastAsia"/>
        </w:rPr>
        <w:t>聯盟</w:t>
      </w:r>
      <w:r w:rsidR="008443F0">
        <w:rPr>
          <w:rFonts w:ascii="微軟正黑體" w:eastAsia="微軟正黑體" w:hAnsi="微軟正黑體" w:hint="eastAsia"/>
        </w:rPr>
        <w:t>鏈：對象有限制(許可制)，如跨公司或供應鏈上之區塊鏈。</w:t>
      </w:r>
    </w:p>
    <w:p w:rsidR="00253D2F" w:rsidRDefault="00253D2F" w:rsidP="00253D2F">
      <w:pPr>
        <w:pStyle w:val="a3"/>
        <w:snapToGrid w:val="0"/>
        <w:ind w:leftChars="0" w:left="960"/>
        <w:rPr>
          <w:rFonts w:ascii="微軟正黑體" w:eastAsia="微軟正黑體" w:hAnsi="微軟正黑體"/>
        </w:rPr>
      </w:pPr>
    </w:p>
    <w:p w:rsidR="00253D2F" w:rsidRDefault="00253D2F" w:rsidP="00253D2F">
      <w:pPr>
        <w:pStyle w:val="a3"/>
        <w:numPr>
          <w:ilvl w:val="0"/>
          <w:numId w:val="10"/>
        </w:numPr>
        <w:snapToGrid w:val="0"/>
        <w:ind w:leftChars="0"/>
        <w:rPr>
          <w:rFonts w:ascii="微軟正黑體" w:eastAsia="微軟正黑體" w:hAnsi="微軟正黑體"/>
        </w:rPr>
      </w:pPr>
      <w:r>
        <w:rPr>
          <w:rFonts w:ascii="微軟正黑體" w:eastAsia="微軟正黑體" w:hAnsi="微軟正黑體" w:hint="eastAsia"/>
        </w:rPr>
        <w:t>適合區塊鏈應用：(以下皆可透過分散式記帳方式(區塊鏈基底)，來建立查詢平台)</w:t>
      </w:r>
    </w:p>
    <w:p w:rsidR="00253D2F" w:rsidRDefault="00253D2F" w:rsidP="00253D2F">
      <w:pPr>
        <w:pStyle w:val="a3"/>
        <w:numPr>
          <w:ilvl w:val="1"/>
          <w:numId w:val="10"/>
        </w:numPr>
        <w:snapToGrid w:val="0"/>
        <w:ind w:leftChars="0"/>
        <w:rPr>
          <w:rFonts w:ascii="微軟正黑體" w:eastAsia="微軟正黑體" w:hAnsi="微軟正黑體"/>
        </w:rPr>
      </w:pPr>
      <w:r>
        <w:rPr>
          <w:rFonts w:ascii="微軟正黑體" w:eastAsia="微軟正黑體" w:hAnsi="微軟正黑體" w:hint="eastAsia"/>
        </w:rPr>
        <w:t>智慧財產權管理：專利、商標、著作權</w:t>
      </w:r>
    </w:p>
    <w:p w:rsidR="00253D2F" w:rsidRDefault="00253D2F" w:rsidP="00253D2F">
      <w:pPr>
        <w:pStyle w:val="a3"/>
        <w:numPr>
          <w:ilvl w:val="1"/>
          <w:numId w:val="10"/>
        </w:numPr>
        <w:snapToGrid w:val="0"/>
        <w:ind w:leftChars="0"/>
        <w:rPr>
          <w:rFonts w:ascii="微軟正黑體" w:eastAsia="微軟正黑體" w:hAnsi="微軟正黑體"/>
        </w:rPr>
      </w:pPr>
      <w:r>
        <w:rPr>
          <w:rFonts w:ascii="微軟正黑體" w:eastAsia="微軟正黑體" w:hAnsi="微軟正黑體" w:hint="eastAsia"/>
        </w:rPr>
        <w:t>臨床醫療實驗資料管理</w:t>
      </w:r>
    </w:p>
    <w:p w:rsidR="00253D2F" w:rsidRDefault="00253D2F" w:rsidP="00253D2F">
      <w:pPr>
        <w:pStyle w:val="a3"/>
        <w:numPr>
          <w:ilvl w:val="1"/>
          <w:numId w:val="10"/>
        </w:numPr>
        <w:snapToGrid w:val="0"/>
        <w:ind w:leftChars="0"/>
        <w:rPr>
          <w:rFonts w:ascii="微軟正黑體" w:eastAsia="微軟正黑體" w:hAnsi="微軟正黑體"/>
        </w:rPr>
      </w:pPr>
      <w:r>
        <w:rPr>
          <w:rFonts w:ascii="微軟正黑體" w:eastAsia="微軟正黑體" w:hAnsi="微軟正黑體" w:hint="eastAsia"/>
        </w:rPr>
        <w:lastRenderedPageBreak/>
        <w:t>財富管理：養老金、退休金管理</w:t>
      </w:r>
    </w:p>
    <w:p w:rsidR="00253D2F" w:rsidRDefault="00253D2F" w:rsidP="00253D2F">
      <w:pPr>
        <w:pStyle w:val="a3"/>
        <w:numPr>
          <w:ilvl w:val="1"/>
          <w:numId w:val="10"/>
        </w:numPr>
        <w:snapToGrid w:val="0"/>
        <w:ind w:leftChars="0"/>
        <w:rPr>
          <w:rFonts w:ascii="微軟正黑體" w:eastAsia="微軟正黑體" w:hAnsi="微軟正黑體"/>
        </w:rPr>
      </w:pPr>
      <w:r>
        <w:rPr>
          <w:rFonts w:ascii="微軟正黑體" w:eastAsia="微軟正黑體" w:hAnsi="微軟正黑體" w:hint="eastAsia"/>
        </w:rPr>
        <w:t>在學成績、出勤率、畢業學位證書</w:t>
      </w:r>
    </w:p>
    <w:p w:rsidR="00253D2F" w:rsidRDefault="00253D2F" w:rsidP="00253D2F">
      <w:pPr>
        <w:pStyle w:val="a3"/>
        <w:numPr>
          <w:ilvl w:val="1"/>
          <w:numId w:val="10"/>
        </w:numPr>
        <w:snapToGrid w:val="0"/>
        <w:ind w:leftChars="0"/>
        <w:rPr>
          <w:rFonts w:ascii="微軟正黑體" w:eastAsia="微軟正黑體" w:hAnsi="微軟正黑體"/>
        </w:rPr>
      </w:pPr>
      <w:r>
        <w:rPr>
          <w:rFonts w:ascii="微軟正黑體" w:eastAsia="微軟正黑體" w:hAnsi="微軟正黑體" w:hint="eastAsia"/>
        </w:rPr>
        <w:t>企業財務資料管理：會計、審計、股票交易與流通</w:t>
      </w:r>
    </w:p>
    <w:p w:rsidR="00253D2F" w:rsidRPr="00253D2F" w:rsidRDefault="00253D2F" w:rsidP="00253D2F">
      <w:pPr>
        <w:pStyle w:val="a3"/>
        <w:snapToGrid w:val="0"/>
        <w:ind w:leftChars="0" w:left="960"/>
        <w:rPr>
          <w:rFonts w:ascii="微軟正黑體" w:eastAsia="微軟正黑體" w:hAnsi="微軟正黑體"/>
        </w:rPr>
      </w:pPr>
    </w:p>
    <w:p w:rsidR="00C76CAA" w:rsidRDefault="00C76CAA" w:rsidP="008443F0">
      <w:pPr>
        <w:pStyle w:val="a3"/>
        <w:numPr>
          <w:ilvl w:val="0"/>
          <w:numId w:val="10"/>
        </w:numPr>
        <w:snapToGrid w:val="0"/>
        <w:ind w:leftChars="0"/>
        <w:rPr>
          <w:rFonts w:ascii="微軟正黑體" w:eastAsia="微軟正黑體" w:hAnsi="微軟正黑體"/>
        </w:rPr>
      </w:pPr>
      <w:r>
        <w:rPr>
          <w:rFonts w:ascii="微軟正黑體" w:eastAsia="微軟正黑體" w:hAnsi="微軟正黑體" w:hint="eastAsia"/>
        </w:rPr>
        <w:t>日本法令已承認其為支付手段之一</w:t>
      </w:r>
      <w:r w:rsidR="0080058D">
        <w:rPr>
          <w:rFonts w:ascii="微軟正黑體" w:eastAsia="微軟正黑體" w:hAnsi="微軟正黑體" w:hint="eastAsia"/>
        </w:rPr>
        <w:t>：2017</w:t>
      </w:r>
      <w:r w:rsidR="00C5168E">
        <w:rPr>
          <w:rFonts w:ascii="微軟正黑體" w:eastAsia="微軟正黑體" w:hAnsi="微軟正黑體" w:hint="eastAsia"/>
        </w:rPr>
        <w:t>年美國財經記者錄</w:t>
      </w:r>
      <w:r w:rsidR="0080058D">
        <w:rPr>
          <w:rFonts w:ascii="微軟正黑體" w:eastAsia="微軟正黑體" w:hAnsi="微軟正黑體" w:hint="eastAsia"/>
        </w:rPr>
        <w:t>下一段使用比特幣於日本商場購物的</w:t>
      </w:r>
      <w:r>
        <w:rPr>
          <w:rFonts w:ascii="微軟正黑體" w:eastAsia="微軟正黑體" w:hAnsi="微軟正黑體" w:hint="eastAsia"/>
        </w:rPr>
        <w:t>影片</w:t>
      </w:r>
      <w:r w:rsidR="0080058D">
        <w:rPr>
          <w:rFonts w:ascii="微軟正黑體" w:eastAsia="微軟正黑體" w:hAnsi="微軟正黑體" w:hint="eastAsia"/>
        </w:rPr>
        <w:t>(</w:t>
      </w:r>
      <w:hyperlink r:id="rId7" w:history="1">
        <w:r w:rsidR="0080058D">
          <w:rPr>
            <w:rStyle w:val="a5"/>
          </w:rPr>
          <w:t>https://www.youtube.com/watch?v=qbNG66nQdqA&amp;feature=share</w:t>
        </w:r>
      </w:hyperlink>
      <w:r w:rsidR="0080058D">
        <w:rPr>
          <w:rFonts w:ascii="微軟正黑體" w:eastAsia="微軟正黑體" w:hAnsi="微軟正黑體" w:hint="eastAsia"/>
        </w:rPr>
        <w:t>)</w:t>
      </w:r>
      <w:r w:rsidR="00C5168E">
        <w:rPr>
          <w:rFonts w:ascii="微軟正黑體" w:eastAsia="微軟正黑體" w:hAnsi="微軟正黑體" w:hint="eastAsia"/>
        </w:rPr>
        <w:t>。</w:t>
      </w:r>
    </w:p>
    <w:p w:rsidR="00253D2F" w:rsidRDefault="00253D2F" w:rsidP="00253D2F">
      <w:pPr>
        <w:pStyle w:val="a3"/>
        <w:snapToGrid w:val="0"/>
        <w:ind w:leftChars="0"/>
        <w:rPr>
          <w:rFonts w:ascii="微軟正黑體" w:eastAsia="微軟正黑體" w:hAnsi="微軟正黑體"/>
        </w:rPr>
      </w:pPr>
    </w:p>
    <w:p w:rsidR="00C76CAA" w:rsidRPr="00613D3F" w:rsidRDefault="00613D3F" w:rsidP="00613D3F">
      <w:pPr>
        <w:pStyle w:val="a3"/>
        <w:numPr>
          <w:ilvl w:val="0"/>
          <w:numId w:val="10"/>
        </w:numPr>
        <w:snapToGrid w:val="0"/>
        <w:ind w:leftChars="0"/>
        <w:rPr>
          <w:rFonts w:ascii="微軟正黑體" w:eastAsia="微軟正黑體" w:hAnsi="微軟正黑體"/>
        </w:rPr>
      </w:pPr>
      <w:r>
        <w:rPr>
          <w:rFonts w:ascii="微軟正黑體" w:eastAsia="微軟正黑體" w:hAnsi="微軟正黑體" w:hint="eastAsia"/>
        </w:rPr>
        <w:t>課堂提出之意見討論</w:t>
      </w:r>
      <w:r w:rsidR="00C76CAA" w:rsidRPr="00613D3F">
        <w:rPr>
          <w:rFonts w:ascii="微軟正黑體" w:eastAsia="微軟正黑體" w:hAnsi="微軟正黑體" w:hint="eastAsia"/>
        </w:rPr>
        <w:t>：</w:t>
      </w:r>
    </w:p>
    <w:p w:rsidR="00253D2F" w:rsidRDefault="00253D2F" w:rsidP="00C76CAA">
      <w:pPr>
        <w:pStyle w:val="a3"/>
        <w:numPr>
          <w:ilvl w:val="1"/>
          <w:numId w:val="10"/>
        </w:numPr>
        <w:snapToGrid w:val="0"/>
        <w:ind w:leftChars="0"/>
        <w:rPr>
          <w:rFonts w:ascii="微軟正黑體" w:eastAsia="微軟正黑體" w:hAnsi="微軟正黑體"/>
        </w:rPr>
      </w:pPr>
      <w:r>
        <w:rPr>
          <w:rFonts w:ascii="微軟正黑體" w:eastAsia="微軟正黑體" w:hAnsi="微軟正黑體" w:hint="eastAsia"/>
        </w:rPr>
        <w:t>如何解決</w:t>
      </w:r>
      <w:r w:rsidR="00C76CAA">
        <w:rPr>
          <w:rFonts w:ascii="微軟正黑體" w:eastAsia="微軟正黑體" w:hAnsi="微軟正黑體" w:hint="eastAsia"/>
        </w:rPr>
        <w:t>「每10分鐘到帳且結算一次」交易緩慢</w:t>
      </w:r>
      <w:r>
        <w:rPr>
          <w:rFonts w:ascii="微軟正黑體" w:eastAsia="微軟正黑體" w:hAnsi="微軟正黑體" w:hint="eastAsia"/>
        </w:rPr>
        <w:t>問題</w:t>
      </w:r>
      <w:r w:rsidR="00C76CAA">
        <w:rPr>
          <w:rFonts w:ascii="微軟正黑體" w:eastAsia="微軟正黑體" w:hAnsi="微軟正黑體" w:hint="eastAsia"/>
        </w:rPr>
        <w:t>：</w:t>
      </w:r>
    </w:p>
    <w:p w:rsidR="00C76CAA" w:rsidRDefault="00253D2F" w:rsidP="00253D2F">
      <w:pPr>
        <w:pStyle w:val="a3"/>
        <w:snapToGrid w:val="0"/>
        <w:ind w:leftChars="0" w:left="960"/>
        <w:rPr>
          <w:rFonts w:ascii="微軟正黑體" w:eastAsia="微軟正黑體" w:hAnsi="微軟正黑體"/>
        </w:rPr>
      </w:pPr>
      <w:r>
        <w:rPr>
          <w:rFonts w:ascii="微軟正黑體" w:eastAsia="微軟正黑體" w:hAnsi="微軟正黑體" w:hint="eastAsia"/>
        </w:rPr>
        <w:t>→解決之道：</w:t>
      </w:r>
      <w:r w:rsidR="00C76CAA">
        <w:rPr>
          <w:rFonts w:ascii="微軟正黑體" w:eastAsia="微軟正黑體" w:hAnsi="微軟正黑體" w:hint="eastAsia"/>
        </w:rPr>
        <w:t>已有「閃電網絡協議(</w:t>
      </w:r>
      <w:r w:rsidR="00C76CAA" w:rsidRPr="00C76CAA">
        <w:rPr>
          <w:rFonts w:ascii="微軟正黑體" w:eastAsia="微軟正黑體" w:hAnsi="微軟正黑體"/>
        </w:rPr>
        <w:t>Lightning Network</w:t>
      </w:r>
      <w:r w:rsidR="00C76CAA">
        <w:rPr>
          <w:rFonts w:ascii="微軟正黑體" w:eastAsia="微軟正黑體" w:hAnsi="微軟正黑體" w:hint="eastAsia"/>
        </w:rPr>
        <w:t>)」技術來</w:t>
      </w:r>
      <w:r w:rsidR="00C76CAA" w:rsidRPr="00C76CAA">
        <w:rPr>
          <w:rFonts w:ascii="微軟正黑體" w:eastAsia="微軟正黑體" w:hAnsi="微軟正黑體" w:hint="eastAsia"/>
        </w:rPr>
        <w:t>加速交易速度進而提升</w:t>
      </w:r>
      <w:r w:rsidR="00C76CAA">
        <w:rPr>
          <w:rFonts w:ascii="微軟正黑體" w:eastAsia="微軟正黑體" w:hAnsi="微軟正黑體" w:hint="eastAsia"/>
        </w:rPr>
        <w:t>區塊鏈</w:t>
      </w:r>
      <w:r w:rsidR="00C76CAA" w:rsidRPr="00C76CAA">
        <w:rPr>
          <w:rFonts w:ascii="微軟正黑體" w:eastAsia="微軟正黑體" w:hAnsi="微軟正黑體" w:hint="eastAsia"/>
        </w:rPr>
        <w:t>的可交易性。</w:t>
      </w:r>
    </w:p>
    <w:p w:rsidR="00253D2F" w:rsidRDefault="00E0599D" w:rsidP="00E0599D">
      <w:pPr>
        <w:pStyle w:val="a3"/>
        <w:numPr>
          <w:ilvl w:val="1"/>
          <w:numId w:val="10"/>
        </w:numPr>
        <w:snapToGrid w:val="0"/>
        <w:ind w:leftChars="0"/>
        <w:rPr>
          <w:rFonts w:ascii="微軟正黑體" w:eastAsia="微軟正黑體" w:hAnsi="微軟正黑體"/>
        </w:rPr>
      </w:pPr>
      <w:r>
        <w:rPr>
          <w:rFonts w:ascii="微軟正黑體" w:eastAsia="微軟正黑體" w:hAnsi="微軟正黑體" w:hint="eastAsia"/>
        </w:rPr>
        <w:t>至2140年比特幣已無挖礦(記帳權)之報酬，屆時誰來記帳</w:t>
      </w:r>
      <w:r w:rsidR="00253D2F">
        <w:rPr>
          <w:rFonts w:ascii="微軟正黑體" w:eastAsia="微軟正黑體" w:hAnsi="微軟正黑體" w:hint="eastAsia"/>
        </w:rPr>
        <w:t>?</w:t>
      </w:r>
    </w:p>
    <w:p w:rsidR="00E0599D" w:rsidRPr="00253D2F" w:rsidRDefault="00253D2F" w:rsidP="00253D2F">
      <w:pPr>
        <w:pStyle w:val="a3"/>
        <w:snapToGrid w:val="0"/>
        <w:ind w:leftChars="0" w:left="960"/>
        <w:rPr>
          <w:rFonts w:ascii="微軟正黑體" w:eastAsia="微軟正黑體" w:hAnsi="微軟正黑體"/>
        </w:rPr>
      </w:pPr>
      <w:r>
        <w:rPr>
          <w:rFonts w:ascii="微軟正黑體" w:eastAsia="微軟正黑體" w:hAnsi="微軟正黑體" w:hint="eastAsia"/>
        </w:rPr>
        <w:t>→答案</w:t>
      </w:r>
      <w:r w:rsidRPr="00253D2F">
        <w:rPr>
          <w:rFonts w:ascii="微軟正黑體" w:eastAsia="微軟正黑體" w:hAnsi="微軟正黑體" w:hint="eastAsia"/>
        </w:rPr>
        <w:t>是</w:t>
      </w:r>
      <w:r>
        <w:rPr>
          <w:rFonts w:ascii="微軟正黑體" w:eastAsia="微軟正黑體" w:hAnsi="微軟正黑體" w:hint="eastAsia"/>
        </w:rPr>
        <w:t>：</w:t>
      </w:r>
      <w:r w:rsidR="00E0599D" w:rsidRPr="00253D2F">
        <w:rPr>
          <w:rFonts w:ascii="微軟正黑體" w:eastAsia="微軟正黑體" w:hAnsi="微軟正黑體" w:hint="eastAsia"/>
        </w:rPr>
        <w:t>「尚有記帳之手續費」，因未來若比特幣流通性高，則生活上</w:t>
      </w:r>
      <w:r w:rsidRPr="00253D2F">
        <w:rPr>
          <w:rFonts w:ascii="微軟正黑體" w:eastAsia="微軟正黑體" w:hAnsi="微軟正黑體" w:hint="eastAsia"/>
        </w:rPr>
        <w:t>將會大大的</w:t>
      </w:r>
      <w:r w:rsidR="00E0599D" w:rsidRPr="00253D2F">
        <w:rPr>
          <w:rFonts w:ascii="微軟正黑體" w:eastAsia="微軟正黑體" w:hAnsi="微軟正黑體" w:hint="eastAsia"/>
        </w:rPr>
        <w:t>使用比特幣，交易者就願意支付更高的手續費</w:t>
      </w:r>
      <w:r w:rsidRPr="00253D2F">
        <w:rPr>
          <w:rFonts w:ascii="微軟正黑體" w:eastAsia="微軟正黑體" w:hAnsi="微軟正黑體" w:hint="eastAsia"/>
        </w:rPr>
        <w:t>來</w:t>
      </w:r>
      <w:r w:rsidR="00E0599D" w:rsidRPr="00253D2F">
        <w:rPr>
          <w:rFonts w:ascii="微軟正黑體" w:eastAsia="微軟正黑體" w:hAnsi="微軟正黑體" w:hint="eastAsia"/>
        </w:rPr>
        <w:t>完成</w:t>
      </w:r>
      <w:r w:rsidRPr="00253D2F">
        <w:rPr>
          <w:rFonts w:ascii="微軟正黑體" w:eastAsia="微軟正黑體" w:hAnsi="微軟正黑體" w:hint="eastAsia"/>
        </w:rPr>
        <w:t>比特幣</w:t>
      </w:r>
      <w:r w:rsidR="00E0599D" w:rsidRPr="00253D2F">
        <w:rPr>
          <w:rFonts w:ascii="微軟正黑體" w:eastAsia="微軟正黑體" w:hAnsi="微軟正黑體" w:hint="eastAsia"/>
        </w:rPr>
        <w:t>交易。</w:t>
      </w:r>
    </w:p>
    <w:p w:rsidR="00253D2F" w:rsidRDefault="00253D2F" w:rsidP="00253D2F">
      <w:pPr>
        <w:pStyle w:val="a3"/>
        <w:numPr>
          <w:ilvl w:val="1"/>
          <w:numId w:val="10"/>
        </w:numPr>
        <w:snapToGrid w:val="0"/>
        <w:ind w:leftChars="0"/>
        <w:rPr>
          <w:rFonts w:ascii="微軟正黑體" w:eastAsia="微軟正黑體" w:hAnsi="微軟正黑體"/>
        </w:rPr>
      </w:pPr>
      <w:r>
        <w:rPr>
          <w:rFonts w:ascii="微軟正黑體" w:eastAsia="微軟正黑體" w:hAnsi="微軟正黑體" w:hint="eastAsia"/>
        </w:rPr>
        <w:t>上述說區塊鏈「沒有通貨膨脹</w:t>
      </w:r>
      <w:r w:rsidRPr="00253D2F">
        <w:rPr>
          <w:rFonts w:ascii="微軟正黑體" w:eastAsia="微軟正黑體" w:hAnsi="微軟正黑體" w:hint="eastAsia"/>
        </w:rPr>
        <w:t>」問題</w:t>
      </w:r>
      <w:r>
        <w:rPr>
          <w:rFonts w:ascii="微軟正黑體" w:eastAsia="微軟正黑體" w:hAnsi="微軟正黑體" w:hint="eastAsia"/>
        </w:rPr>
        <w:t>，但其價值漲幅大，兩者互相矛盾：</w:t>
      </w:r>
    </w:p>
    <w:p w:rsidR="00253D2F" w:rsidRDefault="00253D2F" w:rsidP="00253D2F">
      <w:pPr>
        <w:pStyle w:val="a3"/>
        <w:snapToGrid w:val="0"/>
        <w:ind w:leftChars="0" w:left="960"/>
        <w:rPr>
          <w:rFonts w:ascii="微軟正黑體" w:eastAsia="微軟正黑體" w:hAnsi="微軟正黑體"/>
        </w:rPr>
      </w:pPr>
      <w:r>
        <w:rPr>
          <w:rFonts w:ascii="微軟正黑體" w:eastAsia="微軟正黑體" w:hAnsi="微軟正黑體" w:hint="eastAsia"/>
        </w:rPr>
        <w:t>→盧老師認為：主要是受消息面</w:t>
      </w:r>
      <w:r w:rsidR="00C5168E">
        <w:rPr>
          <w:rFonts w:ascii="微軟正黑體" w:eastAsia="微軟正黑體" w:hAnsi="微軟正黑體" w:hint="eastAsia"/>
        </w:rPr>
        <w:t>汙名化之</w:t>
      </w:r>
      <w:r>
        <w:rPr>
          <w:rFonts w:ascii="微軟正黑體" w:eastAsia="微軟正黑體" w:hAnsi="微軟正黑體" w:hint="eastAsia"/>
        </w:rPr>
        <w:t>影響</w:t>
      </w:r>
      <w:r w:rsidR="00C5168E">
        <w:rPr>
          <w:rFonts w:ascii="微軟正黑體" w:eastAsia="微軟正黑體" w:hAnsi="微軟正黑體" w:hint="eastAsia"/>
        </w:rPr>
        <w:t>，使漲幅較大，且因各國不同交易市場，比特幣有不同價值，故會產生「套利」現象，而此情況是屬合法之正常現象。</w:t>
      </w:r>
    </w:p>
    <w:p w:rsidR="00C5168E" w:rsidRDefault="00C5168E" w:rsidP="00C5168E">
      <w:pPr>
        <w:pStyle w:val="a3"/>
        <w:numPr>
          <w:ilvl w:val="1"/>
          <w:numId w:val="10"/>
        </w:numPr>
        <w:snapToGrid w:val="0"/>
        <w:ind w:leftChars="0"/>
        <w:rPr>
          <w:rFonts w:ascii="微軟正黑體" w:eastAsia="微軟正黑體" w:hAnsi="微軟正黑體"/>
        </w:rPr>
      </w:pPr>
      <w:r>
        <w:rPr>
          <w:rFonts w:ascii="微軟正黑體" w:eastAsia="微軟正黑體" w:hAnsi="微軟正黑體" w:hint="eastAsia"/>
        </w:rPr>
        <w:t>針對質疑</w:t>
      </w:r>
      <w:r w:rsidR="00613D3F">
        <w:rPr>
          <w:rFonts w:ascii="微軟正黑體" w:eastAsia="微軟正黑體" w:hAnsi="微軟正黑體" w:hint="eastAsia"/>
        </w:rPr>
        <w:t>比特幣之隱密性(因</w:t>
      </w:r>
      <w:r>
        <w:rPr>
          <w:rFonts w:ascii="微軟正黑體" w:eastAsia="微軟正黑體" w:hAnsi="微軟正黑體" w:hint="eastAsia"/>
        </w:rPr>
        <w:t>未紀錄交易者姓名</w:t>
      </w:r>
      <w:r w:rsidR="00613D3F">
        <w:rPr>
          <w:rFonts w:ascii="微軟正黑體" w:eastAsia="微軟正黑體" w:hAnsi="微軟正黑體" w:hint="eastAsia"/>
        </w:rPr>
        <w:t>)，恐淪為洗黑錢之管道問題：</w:t>
      </w:r>
    </w:p>
    <w:p w:rsidR="00613D3F" w:rsidRDefault="00613D3F" w:rsidP="00613D3F">
      <w:pPr>
        <w:pStyle w:val="a3"/>
        <w:snapToGrid w:val="0"/>
        <w:ind w:leftChars="0" w:left="960"/>
        <w:rPr>
          <w:rFonts w:ascii="微軟正黑體" w:eastAsia="微軟正黑體" w:hAnsi="微軟正黑體"/>
        </w:rPr>
      </w:pPr>
      <w:r>
        <w:rPr>
          <w:rFonts w:ascii="微軟正黑體" w:eastAsia="微軟正黑體" w:hAnsi="微軟正黑體" w:hint="eastAsia"/>
        </w:rPr>
        <w:t>→盧老師提出見解為：該受質疑的非「比特幣」本身，而是須譴責洗錢者。</w:t>
      </w:r>
    </w:p>
    <w:p w:rsidR="00193DEA" w:rsidRDefault="00193DEA" w:rsidP="00193DEA">
      <w:pPr>
        <w:pStyle w:val="a3"/>
        <w:numPr>
          <w:ilvl w:val="1"/>
          <w:numId w:val="10"/>
        </w:numPr>
        <w:snapToGrid w:val="0"/>
        <w:ind w:leftChars="0"/>
        <w:rPr>
          <w:rFonts w:ascii="微軟正黑體" w:eastAsia="微軟正黑體" w:hAnsi="微軟正黑體"/>
        </w:rPr>
      </w:pPr>
      <w:r>
        <w:rPr>
          <w:rFonts w:ascii="微軟正黑體" w:eastAsia="微軟正黑體" w:hAnsi="微軟正黑體" w:hint="eastAsia"/>
        </w:rPr>
        <w:t>針對私有鏈與聯盟鏈之交易帳本是否透明化之問題：</w:t>
      </w:r>
    </w:p>
    <w:p w:rsidR="00193DEA" w:rsidRDefault="00193DEA" w:rsidP="00193DEA">
      <w:pPr>
        <w:pStyle w:val="a3"/>
        <w:snapToGrid w:val="0"/>
        <w:ind w:leftChars="0" w:left="960"/>
        <w:rPr>
          <w:rFonts w:ascii="微軟正黑體" w:eastAsia="微軟正黑體" w:hAnsi="微軟正黑體"/>
        </w:rPr>
      </w:pPr>
      <w:r>
        <w:rPr>
          <w:rFonts w:ascii="微軟正黑體" w:eastAsia="微軟正黑體" w:hAnsi="微軟正黑體" w:hint="eastAsia"/>
        </w:rPr>
        <w:t>→盧老師個人認為</w:t>
      </w:r>
      <w:r w:rsidR="000E296A">
        <w:rPr>
          <w:rFonts w:ascii="微軟正黑體" w:eastAsia="微軟正黑體" w:hAnsi="微軟正黑體" w:hint="eastAsia"/>
        </w:rPr>
        <w:t>只有「全球公有鏈」</w:t>
      </w:r>
      <w:r>
        <w:rPr>
          <w:rFonts w:ascii="微軟正黑體" w:eastAsia="微軟正黑體" w:hAnsi="微軟正黑體" w:hint="eastAsia"/>
        </w:rPr>
        <w:t>能達成交易透明化之目標，其餘「私有鏈與聯盟鏈」皆存在可能私下協商將某時間點之交易刪除情況，難保交易透明化。</w:t>
      </w:r>
    </w:p>
    <w:p w:rsidR="008760DD" w:rsidRDefault="008760DD" w:rsidP="008760DD">
      <w:pPr>
        <w:pStyle w:val="a3"/>
        <w:numPr>
          <w:ilvl w:val="1"/>
          <w:numId w:val="10"/>
        </w:numPr>
        <w:snapToGrid w:val="0"/>
        <w:ind w:leftChars="0"/>
        <w:rPr>
          <w:rFonts w:ascii="微軟正黑體" w:eastAsia="微軟正黑體" w:hAnsi="微軟正黑體"/>
        </w:rPr>
      </w:pPr>
      <w:r>
        <w:rPr>
          <w:rFonts w:ascii="微軟正黑體" w:eastAsia="微軟正黑體" w:hAnsi="微軟正黑體" w:hint="eastAsia"/>
        </w:rPr>
        <w:t>區塊鏈技術是否取代密碼學技術? 是否取代憑證?</w:t>
      </w:r>
    </w:p>
    <w:p w:rsidR="008760DD" w:rsidRDefault="008760DD" w:rsidP="008760DD">
      <w:pPr>
        <w:pStyle w:val="a3"/>
        <w:snapToGrid w:val="0"/>
        <w:ind w:leftChars="0" w:left="960"/>
        <w:rPr>
          <w:rFonts w:ascii="微軟正黑體" w:eastAsia="微軟正黑體" w:hAnsi="微軟正黑體"/>
        </w:rPr>
      </w:pPr>
      <w:r>
        <w:rPr>
          <w:rFonts w:ascii="微軟正黑體" w:eastAsia="微軟正黑體" w:hAnsi="微軟正黑體" w:hint="eastAsia"/>
        </w:rPr>
        <w:t>→否，其是結合數學、密碼學、經濟模型的技術產物，取代的是機房集中式的資料庫管理，且不需要S</w:t>
      </w:r>
      <w:r>
        <w:rPr>
          <w:rFonts w:ascii="微軟正黑體" w:eastAsia="微軟正黑體" w:hAnsi="微軟正黑體"/>
        </w:rPr>
        <w:t>uper Admin</w:t>
      </w:r>
      <w:r>
        <w:rPr>
          <w:rFonts w:ascii="微軟正黑體" w:eastAsia="微軟正黑體" w:hAnsi="微軟正黑體" w:hint="eastAsia"/>
        </w:rPr>
        <w:t>管理，改以讓數據由全球共管，其僅需儲存空間，每10分鐘到帳結算即儲存鏈上交易資料。</w:t>
      </w:r>
    </w:p>
    <w:p w:rsidR="008760DD" w:rsidRDefault="008760DD" w:rsidP="008760DD">
      <w:pPr>
        <w:pStyle w:val="a3"/>
        <w:numPr>
          <w:ilvl w:val="1"/>
          <w:numId w:val="10"/>
        </w:numPr>
        <w:snapToGrid w:val="0"/>
        <w:ind w:leftChars="0"/>
        <w:rPr>
          <w:rFonts w:ascii="微軟正黑體" w:eastAsia="微軟正黑體" w:hAnsi="微軟正黑體"/>
        </w:rPr>
      </w:pPr>
      <w:r>
        <w:rPr>
          <w:rFonts w:ascii="微軟正黑體" w:eastAsia="微軟正黑體" w:hAnsi="微軟正黑體" w:hint="eastAsia"/>
        </w:rPr>
        <w:t>呈上，每10分鐘</w:t>
      </w:r>
      <w:r>
        <w:rPr>
          <w:rFonts w:ascii="微軟正黑體" w:eastAsia="微軟正黑體" w:hAnsi="微軟正黑體" w:hint="eastAsia"/>
        </w:rPr>
        <w:t>儲存</w:t>
      </w:r>
      <w:r>
        <w:rPr>
          <w:rFonts w:ascii="微軟正黑體" w:eastAsia="微軟正黑體" w:hAnsi="微軟正黑體" w:hint="eastAsia"/>
        </w:rPr>
        <w:t>到帳結算的交易資料，是否儲存空間極大?</w:t>
      </w:r>
    </w:p>
    <w:p w:rsidR="008760DD" w:rsidRPr="008760DD" w:rsidRDefault="008760DD" w:rsidP="008760DD">
      <w:pPr>
        <w:pStyle w:val="a3"/>
        <w:snapToGrid w:val="0"/>
        <w:ind w:leftChars="0" w:left="960"/>
        <w:rPr>
          <w:rFonts w:ascii="微軟正黑體" w:eastAsia="微軟正黑體" w:hAnsi="微軟正黑體" w:hint="eastAsia"/>
        </w:rPr>
      </w:pPr>
      <w:r>
        <w:rPr>
          <w:rFonts w:ascii="微軟正黑體" w:eastAsia="微軟正黑體" w:hAnsi="微軟正黑體" w:hint="eastAsia"/>
        </w:rPr>
        <w:t>→從2010年至今(</w:t>
      </w:r>
      <w:bookmarkStart w:id="0" w:name="_GoBack"/>
      <w:bookmarkEnd w:id="0"/>
      <w:r>
        <w:rPr>
          <w:rFonts w:ascii="微軟正黑體" w:eastAsia="微軟正黑體" w:hAnsi="微軟正黑體" w:hint="eastAsia"/>
        </w:rPr>
        <w:t>約10年)，目前帳本大小約250G，52萬塊個區塊資料。</w:t>
      </w:r>
    </w:p>
    <w:p w:rsidR="00C5168E" w:rsidRDefault="00C5168E" w:rsidP="00613D3F">
      <w:pPr>
        <w:pStyle w:val="a3"/>
        <w:numPr>
          <w:ilvl w:val="1"/>
          <w:numId w:val="10"/>
        </w:numPr>
        <w:snapToGrid w:val="0"/>
        <w:ind w:leftChars="0"/>
        <w:rPr>
          <w:rFonts w:ascii="微軟正黑體" w:eastAsia="微軟正黑體" w:hAnsi="微軟正黑體"/>
        </w:rPr>
      </w:pPr>
      <w:r w:rsidRPr="00613D3F">
        <w:rPr>
          <w:rFonts w:ascii="微軟正黑體" w:eastAsia="微軟正黑體" w:hAnsi="微軟正黑體" w:hint="eastAsia"/>
        </w:rPr>
        <w:t>關於</w:t>
      </w:r>
      <w:r w:rsidR="000E296A">
        <w:rPr>
          <w:rFonts w:ascii="微軟正黑體" w:eastAsia="微軟正黑體" w:hAnsi="微軟正黑體" w:hint="eastAsia"/>
        </w:rPr>
        <w:t>金融業於</w:t>
      </w:r>
      <w:r w:rsidR="003C4A93">
        <w:rPr>
          <w:rFonts w:ascii="微軟正黑體" w:eastAsia="微軟正黑體" w:hAnsi="微軟正黑體" w:hint="eastAsia"/>
        </w:rPr>
        <w:t>區塊鏈</w:t>
      </w:r>
      <w:r w:rsidR="000E296A">
        <w:rPr>
          <w:rFonts w:ascii="微軟正黑體" w:eastAsia="微軟正黑體" w:hAnsi="微軟正黑體" w:hint="eastAsia"/>
        </w:rPr>
        <w:t>的</w:t>
      </w:r>
      <w:r w:rsidR="003C4A93">
        <w:rPr>
          <w:rFonts w:ascii="微軟正黑體" w:eastAsia="微軟正黑體" w:hAnsi="微軟正黑體" w:hint="eastAsia"/>
        </w:rPr>
        <w:t>應用</w:t>
      </w:r>
      <w:r w:rsidR="00613D3F">
        <w:rPr>
          <w:rFonts w:ascii="微軟正黑體" w:eastAsia="微軟正黑體" w:hAnsi="微軟正黑體" w:hint="eastAsia"/>
        </w:rPr>
        <w:t>始終存在</w:t>
      </w:r>
      <w:r w:rsidR="00613D3F" w:rsidRPr="00613D3F">
        <w:rPr>
          <w:rFonts w:ascii="微軟正黑體" w:eastAsia="微軟正黑體" w:hAnsi="微軟正黑體" w:hint="eastAsia"/>
        </w:rPr>
        <w:t>應由誰統籌?資金來源</w:t>
      </w:r>
      <w:r w:rsidR="00613D3F">
        <w:rPr>
          <w:rFonts w:ascii="微軟正黑體" w:eastAsia="微軟正黑體" w:hAnsi="微軟正黑體" w:hint="eastAsia"/>
        </w:rPr>
        <w:t>之問題，請問老師見解。</w:t>
      </w:r>
    </w:p>
    <w:p w:rsidR="00613D3F" w:rsidRPr="00613D3F" w:rsidRDefault="00613D3F" w:rsidP="00613D3F">
      <w:pPr>
        <w:pStyle w:val="a3"/>
        <w:snapToGrid w:val="0"/>
        <w:ind w:leftChars="0" w:left="960"/>
        <w:rPr>
          <w:rFonts w:ascii="微軟正黑體" w:eastAsia="微軟正黑體" w:hAnsi="微軟正黑體"/>
        </w:rPr>
      </w:pPr>
      <w:r>
        <w:rPr>
          <w:rFonts w:ascii="微軟正黑體" w:eastAsia="微軟正黑體" w:hAnsi="微軟正黑體" w:hint="eastAsia"/>
        </w:rPr>
        <w:t>→盧老師認為統籌及資金問題：由政府部門統籌，將會是比較好的解決之道。</w:t>
      </w:r>
    </w:p>
    <w:sectPr w:rsidR="00613D3F" w:rsidRPr="00613D3F" w:rsidSect="008F2700">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537" w:rsidRDefault="00E66537" w:rsidP="008760DD">
      <w:r>
        <w:separator/>
      </w:r>
    </w:p>
  </w:endnote>
  <w:endnote w:type="continuationSeparator" w:id="0">
    <w:p w:rsidR="00E66537" w:rsidRDefault="00E66537" w:rsidP="00876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537" w:rsidRDefault="00E66537" w:rsidP="008760DD">
      <w:r>
        <w:separator/>
      </w:r>
    </w:p>
  </w:footnote>
  <w:footnote w:type="continuationSeparator" w:id="0">
    <w:p w:rsidR="00E66537" w:rsidRDefault="00E66537" w:rsidP="00876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016D8"/>
    <w:multiLevelType w:val="hybridMultilevel"/>
    <w:tmpl w:val="1BB65FD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51E4AF3"/>
    <w:multiLevelType w:val="hybridMultilevel"/>
    <w:tmpl w:val="12BC0B70"/>
    <w:lvl w:ilvl="0" w:tplc="0409000F">
      <w:start w:val="1"/>
      <w:numFmt w:val="decimal"/>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5CF6354"/>
    <w:multiLevelType w:val="hybridMultilevel"/>
    <w:tmpl w:val="05E0CF6A"/>
    <w:lvl w:ilvl="0" w:tplc="0409000F">
      <w:start w:val="1"/>
      <w:numFmt w:val="decimal"/>
      <w:lvlText w:val="%1."/>
      <w:lvlJc w:val="left"/>
      <w:pPr>
        <w:ind w:left="960" w:hanging="480"/>
      </w:pPr>
    </w:lvl>
    <w:lvl w:ilvl="1" w:tplc="0409000B">
      <w:start w:val="1"/>
      <w:numFmt w:val="bullet"/>
      <w:lvlText w:val=""/>
      <w:lvlJc w:val="left"/>
      <w:pPr>
        <w:ind w:left="1440" w:hanging="480"/>
      </w:pPr>
      <w:rPr>
        <w:rFonts w:ascii="Wingdings" w:hAnsi="Wingdings" w:hint="default"/>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0AE7E0E"/>
    <w:multiLevelType w:val="hybridMultilevel"/>
    <w:tmpl w:val="7958C0B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305321BB"/>
    <w:multiLevelType w:val="hybridMultilevel"/>
    <w:tmpl w:val="B32C3AA0"/>
    <w:lvl w:ilvl="0" w:tplc="04090015">
      <w:start w:val="1"/>
      <w:numFmt w:val="taiwaneseCountingThousand"/>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FFB679E"/>
    <w:multiLevelType w:val="hybridMultilevel"/>
    <w:tmpl w:val="600ADBB2"/>
    <w:lvl w:ilvl="0" w:tplc="0409000F">
      <w:start w:val="1"/>
      <w:numFmt w:val="decimal"/>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183EE8"/>
    <w:multiLevelType w:val="hybridMultilevel"/>
    <w:tmpl w:val="05E0CF6A"/>
    <w:lvl w:ilvl="0" w:tplc="0409000F">
      <w:start w:val="1"/>
      <w:numFmt w:val="decimal"/>
      <w:lvlText w:val="%1."/>
      <w:lvlJc w:val="left"/>
      <w:pPr>
        <w:ind w:left="960" w:hanging="480"/>
      </w:pPr>
    </w:lvl>
    <w:lvl w:ilvl="1" w:tplc="0409000B">
      <w:start w:val="1"/>
      <w:numFmt w:val="bullet"/>
      <w:lvlText w:val=""/>
      <w:lvlJc w:val="left"/>
      <w:pPr>
        <w:ind w:left="1440" w:hanging="480"/>
      </w:pPr>
      <w:rPr>
        <w:rFonts w:ascii="Wingdings" w:hAnsi="Wingdings" w:hint="default"/>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697D39E4"/>
    <w:multiLevelType w:val="hybridMultilevel"/>
    <w:tmpl w:val="05E0CF6A"/>
    <w:lvl w:ilvl="0" w:tplc="0409000F">
      <w:start w:val="1"/>
      <w:numFmt w:val="decimal"/>
      <w:lvlText w:val="%1."/>
      <w:lvlJc w:val="left"/>
      <w:pPr>
        <w:ind w:left="960" w:hanging="480"/>
      </w:pPr>
    </w:lvl>
    <w:lvl w:ilvl="1" w:tplc="0409000B">
      <w:start w:val="1"/>
      <w:numFmt w:val="bullet"/>
      <w:lvlText w:val=""/>
      <w:lvlJc w:val="left"/>
      <w:pPr>
        <w:ind w:left="1440" w:hanging="480"/>
      </w:pPr>
      <w:rPr>
        <w:rFonts w:ascii="Wingdings" w:hAnsi="Wingdings" w:hint="default"/>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788B4297"/>
    <w:multiLevelType w:val="hybridMultilevel"/>
    <w:tmpl w:val="D11238A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D6A2EBD"/>
    <w:multiLevelType w:val="hybridMultilevel"/>
    <w:tmpl w:val="8710DA48"/>
    <w:lvl w:ilvl="0" w:tplc="521EB73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0"/>
  </w:num>
  <w:num w:numId="3">
    <w:abstractNumId w:val="8"/>
  </w:num>
  <w:num w:numId="4">
    <w:abstractNumId w:val="9"/>
  </w:num>
  <w:num w:numId="5">
    <w:abstractNumId w:val="7"/>
  </w:num>
  <w:num w:numId="6">
    <w:abstractNumId w:val="2"/>
  </w:num>
  <w:num w:numId="7">
    <w:abstractNumId w:val="1"/>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DF5"/>
    <w:rsid w:val="00092DA4"/>
    <w:rsid w:val="00097328"/>
    <w:rsid w:val="000E296A"/>
    <w:rsid w:val="00172989"/>
    <w:rsid w:val="00193DEA"/>
    <w:rsid w:val="00253D2F"/>
    <w:rsid w:val="00282A59"/>
    <w:rsid w:val="002929F7"/>
    <w:rsid w:val="00325DF5"/>
    <w:rsid w:val="003C4A93"/>
    <w:rsid w:val="00545EB4"/>
    <w:rsid w:val="00613D3F"/>
    <w:rsid w:val="0080058D"/>
    <w:rsid w:val="008443F0"/>
    <w:rsid w:val="008760DD"/>
    <w:rsid w:val="008E0B93"/>
    <w:rsid w:val="008F2700"/>
    <w:rsid w:val="00905F27"/>
    <w:rsid w:val="009F0BDA"/>
    <w:rsid w:val="00C5168E"/>
    <w:rsid w:val="00C76CAA"/>
    <w:rsid w:val="00E04521"/>
    <w:rsid w:val="00E0599D"/>
    <w:rsid w:val="00E66537"/>
    <w:rsid w:val="00EA46C9"/>
    <w:rsid w:val="00F61E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21816"/>
  <w15:docId w15:val="{1E35F2D3-8307-4DFC-BCEA-97D3DA02E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5DF5"/>
    <w:pPr>
      <w:ind w:leftChars="200" w:left="480"/>
    </w:pPr>
  </w:style>
  <w:style w:type="table" w:styleId="a4">
    <w:name w:val="Table Grid"/>
    <w:basedOn w:val="a1"/>
    <w:uiPriority w:val="59"/>
    <w:rsid w:val="009F0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80058D"/>
    <w:rPr>
      <w:color w:val="0000FF"/>
      <w:u w:val="single"/>
    </w:rPr>
  </w:style>
  <w:style w:type="paragraph" w:styleId="a6">
    <w:name w:val="header"/>
    <w:basedOn w:val="a"/>
    <w:link w:val="a7"/>
    <w:uiPriority w:val="99"/>
    <w:unhideWhenUsed/>
    <w:rsid w:val="008760DD"/>
    <w:pPr>
      <w:tabs>
        <w:tab w:val="center" w:pos="4153"/>
        <w:tab w:val="right" w:pos="8306"/>
      </w:tabs>
      <w:snapToGrid w:val="0"/>
    </w:pPr>
    <w:rPr>
      <w:sz w:val="20"/>
      <w:szCs w:val="20"/>
    </w:rPr>
  </w:style>
  <w:style w:type="character" w:customStyle="1" w:styleId="a7">
    <w:name w:val="頁首 字元"/>
    <w:basedOn w:val="a0"/>
    <w:link w:val="a6"/>
    <w:uiPriority w:val="99"/>
    <w:rsid w:val="008760DD"/>
    <w:rPr>
      <w:sz w:val="20"/>
      <w:szCs w:val="20"/>
    </w:rPr>
  </w:style>
  <w:style w:type="paragraph" w:styleId="a8">
    <w:name w:val="footer"/>
    <w:basedOn w:val="a"/>
    <w:link w:val="a9"/>
    <w:uiPriority w:val="99"/>
    <w:unhideWhenUsed/>
    <w:rsid w:val="008760DD"/>
    <w:pPr>
      <w:tabs>
        <w:tab w:val="center" w:pos="4153"/>
        <w:tab w:val="right" w:pos="8306"/>
      </w:tabs>
      <w:snapToGrid w:val="0"/>
    </w:pPr>
    <w:rPr>
      <w:sz w:val="20"/>
      <w:szCs w:val="20"/>
    </w:rPr>
  </w:style>
  <w:style w:type="character" w:customStyle="1" w:styleId="a9">
    <w:name w:val="頁尾 字元"/>
    <w:basedOn w:val="a0"/>
    <w:link w:val="a8"/>
    <w:uiPriority w:val="99"/>
    <w:rsid w:val="008760D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qbNG66nQdqA&amp;feature=sh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馮建國</cp:lastModifiedBy>
  <cp:revision>6</cp:revision>
  <dcterms:created xsi:type="dcterms:W3CDTF">2019-10-28T12:45:00Z</dcterms:created>
  <dcterms:modified xsi:type="dcterms:W3CDTF">2019-10-29T07:52:00Z</dcterms:modified>
</cp:coreProperties>
</file>