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56"/>
          <w:szCs w:val="56"/>
        </w:rPr>
        <w:t xml:space="preserve">ProjectHub</w:t>
      </w:r>
    </w:p>
    <w:p>
      <w:pPr>
        <w:spacing w:after="800"/>
        <w:jc w:val="center"/>
      </w:pPr>
      <w:r>
        <w:rPr>
          <w:rFonts w:ascii="Calibri" w:cs="Calibri" w:eastAsia="Calibri" w:hAnsi="Calibri"/>
          <w:i/>
          <w:iCs/>
          <w:sz w:val="28"/>
          <w:szCs w:val="28"/>
        </w:rPr>
        <w:t xml:space="preserve">A Web-Based Platform for Final-Year Project Topic Selection and Lifecycle Management</w:t>
      </w:r>
    </w:p>
    <w:p>
      <w:pPr>
        <w:spacing w:after="1200"/>
        <w:jc w:val="center"/>
      </w:pPr>
      <w:r>
        <w:rPr>
          <w:rFonts w:ascii="Calibri" w:cs="Calibri" w:eastAsia="Calibri" w:hAnsi="Calibri"/>
          <w:b/>
          <w:bCs/>
          <w:sz w:val="32"/>
          <w:szCs w:val="32"/>
        </w:rPr>
        <w:t xml:space="preserve">Project Synopsis</w:t>
      </w:r>
    </w:p>
    <w:p>
      <w:pPr>
        <w:spacing w:after="100"/>
        <w:jc w:val="center"/>
      </w:pPr>
      <w:r>
        <w:rPr>
          <w:rFonts w:ascii="Calibri" w:cs="Calibri" w:eastAsia="Calibri" w:hAnsi="Calibri"/>
          <w:sz w:val="22"/>
          <w:szCs w:val="22"/>
        </w:rPr>
        <w:t xml:space="preserve">Submitted in partial fulfilment of the requirements for the degree of</w:t>
      </w:r>
    </w:p>
    <w:p>
      <w:pPr>
        <w:spacing w:after="800"/>
        <w:jc w:val="center"/>
      </w:pPr>
      <w:r>
        <w:rPr>
          <w:rFonts w:ascii="Calibri" w:cs="Calibri" w:eastAsia="Calibri" w:hAnsi="Calibri"/>
          <w:b/>
          <w:bCs/>
          <w:sz w:val="24"/>
          <w:szCs w:val="24"/>
        </w:rPr>
        <w:t xml:space="preserve">Bachelor of Science in Information Technology</w:t>
      </w:r>
    </w:p>
    <w:p>
      <w:pPr>
        <w:spacing w:after="100"/>
        <w:jc w:val="center"/>
      </w:pPr>
      <w:r>
        <w:rPr>
          <w:rFonts w:ascii="Calibri" w:cs="Calibri" w:eastAsia="Calibri" w:hAnsi="Calibri"/>
          <w:sz w:val="22"/>
          <w:szCs w:val="22"/>
        </w:rPr>
        <w:t xml:space="preserve">Submitted by</w:t>
      </w:r>
    </w:p>
    <w:p>
      <w:pPr>
        <w:spacing w:after="100"/>
        <w:jc w:val="center"/>
      </w:pPr>
      <w:r>
        <w:rPr>
          <w:rFonts w:ascii="Calibri" w:cs="Calibri" w:eastAsia="Calibri" w:hAnsi="Calibri"/>
          <w:b/>
          <w:bCs/>
          <w:sz w:val="24"/>
          <w:szCs w:val="24"/>
        </w:rPr>
        <w:t xml:space="preserve">[Your Full Name] — [Enrollment / Roll Number]</w:t>
      </w:r>
    </w:p>
    <w:p>
      <w:pPr>
        <w:spacing w:after="100"/>
        <w:jc w:val="center"/>
      </w:pPr>
      <w:r>
        <w:rPr>
          <w:rFonts w:ascii="Calibri" w:cs="Calibri" w:eastAsia="Calibri" w:hAnsi="Calibri"/>
          <w:b/>
          <w:bCs/>
          <w:sz w:val="24"/>
          <w:szCs w:val="24"/>
        </w:rPr>
        <w:t xml:space="preserve">[Group Member 2 Name] — [Enrollment / Roll Number]</w:t>
      </w:r>
    </w:p>
    <w:p>
      <w:pPr>
        <w:spacing w:after="800"/>
        <w:jc w:val="center"/>
      </w:pPr>
      <w:r>
        <w:rPr>
          <w:rFonts w:ascii="Calibri" w:cs="Calibri" w:eastAsia="Calibri" w:hAnsi="Calibri"/>
          <w:b/>
          <w:bCs/>
          <w:sz w:val="24"/>
          <w:szCs w:val="24"/>
        </w:rPr>
        <w:t xml:space="preserve">[Group Member 3 Name] — [Enrollment / Roll Number]</w:t>
      </w:r>
    </w:p>
    <w:p>
      <w:pPr>
        <w:spacing w:after="100"/>
        <w:jc w:val="center"/>
      </w:pPr>
      <w:r>
        <w:rPr>
          <w:rFonts w:ascii="Calibri" w:cs="Calibri" w:eastAsia="Calibri" w:hAnsi="Calibri"/>
          <w:sz w:val="22"/>
          <w:szCs w:val="22"/>
        </w:rPr>
        <w:t xml:space="preserve">Under the guidance of</w:t>
      </w:r>
    </w:p>
    <w:p>
      <w:pPr>
        <w:spacing w:after="1200"/>
        <w:jc w:val="center"/>
      </w:pPr>
      <w:r>
        <w:rPr>
          <w:rFonts w:ascii="Calibri" w:cs="Calibri" w:eastAsia="Calibri" w:hAnsi="Calibri"/>
          <w:b/>
          <w:bCs/>
          <w:sz w:val="24"/>
          <w:szCs w:val="24"/>
        </w:rPr>
        <w:t xml:space="preserve">[Guide / HoD Name]</w:t>
      </w:r>
    </w:p>
    <w:p>
      <w:pPr>
        <w:spacing w:after="100"/>
        <w:jc w:val="center"/>
      </w:pPr>
      <w:r>
        <w:rPr>
          <w:rFonts w:ascii="Calibri" w:cs="Calibri" w:eastAsia="Calibri" w:hAnsi="Calibri"/>
          <w:sz w:val="24"/>
          <w:szCs w:val="24"/>
        </w:rPr>
        <w:t xml:space="preserve">Department of Information Technology</w:t>
      </w:r>
    </w:p>
    <w:p>
      <w:pPr>
        <w:spacing w:after="100"/>
        <w:jc w:val="center"/>
      </w:pPr>
      <w:r>
        <w:rPr>
          <w:rFonts w:ascii="Calibri" w:cs="Calibri" w:eastAsia="Calibri" w:hAnsi="Calibri"/>
          <w:sz w:val="24"/>
          <w:szCs w:val="24"/>
        </w:rPr>
        <w:t xml:space="preserve">[College / Institute Name]</w:t>
      </w:r>
    </w:p>
    <w:p>
      <w:pPr>
        <w:spacing w:after="100"/>
        <w:jc w:val="center"/>
      </w:pPr>
      <w:r>
        <w:rPr>
          <w:rFonts w:ascii="Calibri" w:cs="Calibri" w:eastAsia="Calibri" w:hAnsi="Calibri"/>
          <w:sz w:val="24"/>
          <w:szCs w:val="24"/>
        </w:rPr>
        <w:t xml:space="preserve">[University Name]</w:t>
      </w:r>
    </w:p>
    <w:p>
      <w:pPr>
        <w:jc w:val="center"/>
      </w:pPr>
      <w:r>
        <w:rPr>
          <w:rFonts w:ascii="Calibri" w:cs="Calibri" w:eastAsia="Calibri" w:hAnsi="Calibri"/>
          <w:sz w:val="24"/>
          <w:szCs w:val="24"/>
        </w:rPr>
        <w:t xml:space="preserve">Academic Year 2026–27</w:t>
      </w:r>
    </w:p>
    <w:p>
      <w:pPr>
        <w:sectPr>
          <w:pgSz w:w="11906" w:h="16838" w:orient="portrait"/>
          <w:pgMar w:top="1440" w:right="1440" w:bottom="1440" w:left="1440" w:header="708" w:footer="708" w:gutter="0"/>
          <w:pgNumType/>
          <w:docGrid w:linePitch="360"/>
        </w:sectPr>
      </w:pPr>
    </w:p>
    <w:p>
      <w:pPr>
        <w:pStyle w:val="Heading1"/>
        <w:spacing w:after="200" w:before="360"/>
      </w:pPr>
      <w:r>
        <w:t xml:space="preserve">1. Introduction</w:t>
      </w:r>
    </w:p>
    <w:p>
      <w:pPr>
        <w:spacing w:after="200" w:line="360"/>
        <w:jc w:val="both"/>
      </w:pPr>
      <w:r>
        <w:rPr>
          <w:rFonts w:ascii="Calibri" w:cs="Calibri" w:eastAsia="Calibri" w:hAnsi="Calibri"/>
          <w:sz w:val="22"/>
          <w:szCs w:val="22"/>
        </w:rPr>
        <w:t xml:space="preserve">Every final-year student in a Computer Science or Information Technology department goes through the same recurring administrative bottleneck: selecting a project topic, forming a group, waiting for faculty approval, and then tracking progress until submission. In most departments, this entire process is still handled through informal channels — WhatsApp groups, shared spreadsheets, and physical registers maintained by the Head of Department (HoD). This creates duplicated topics, lost approval requests, untracked deadlines, and no single source of truth for either the student or the department.</w:t>
      </w:r>
    </w:p>
    <w:p>
      <w:pPr>
        <w:spacing w:after="200" w:line="360"/>
        <w:jc w:val="both"/>
      </w:pPr>
      <w:r>
        <w:rPr>
          <w:rFonts w:ascii="Calibri" w:cs="Calibri" w:eastAsia="Calibri" w:hAnsi="Calibri"/>
          <w:sz w:val="22"/>
          <w:szCs w:val="22"/>
        </w:rPr>
        <w:t xml:space="preserve">ProjectHub is a full-stack web application designed to replace this fragmented process with a single, role-aware system. It gives students a structured path from topic selection to group formation to final submission, and gives the HoD complete administrative oversight — all without leaving the browser.</w:t>
      </w:r>
    </w:p>
    <w:p>
      <w:pPr>
        <w:pStyle w:val="Heading1"/>
        <w:spacing w:after="200" w:before="360"/>
      </w:pPr>
      <w:r>
        <w:t xml:space="preserve">2. Problem Statement</w:t>
      </w:r>
    </w:p>
    <w:p>
      <w:pPr>
        <w:spacing w:after="200" w:line="360"/>
        <w:jc w:val="both"/>
      </w:pPr>
      <w:r>
        <w:rPr>
          <w:rFonts w:ascii="Calibri" w:cs="Calibri" w:eastAsia="Calibri" w:hAnsi="Calibri"/>
          <w:sz w:val="22"/>
          <w:szCs w:val="22"/>
        </w:rPr>
        <w:t xml:space="preserve">Departments running spreadsheet- and register-based topic allocation face four recurring problems: (i) two groups can unintentionally select the same topic before anyone notices the conflict, (ii) there is no enforced approval trail — a topic can appear “taken” with no record of who approved it or why, (iii) tracking a group's actual progress requires the HoD to manually follow up with each group individually, and (iv) communication about topic feedback, deadlines, and submissions is scattered across email threads and messaging apps with no institutional record.</w:t>
      </w:r>
    </w:p>
    <w:p>
      <w:pPr>
        <w:pStyle w:val="Heading1"/>
        <w:spacing w:after="200" w:before="360"/>
      </w:pPr>
      <w:r>
        <w:t xml:space="preserve">3. Objectives</w:t>
      </w:r>
    </w:p>
    <w:p>
      <w:pPr>
        <w:pStyle w:val="ListParagraph"/>
        <w:numPr>
          <w:ilvl w:val="0"/>
          <w:numId w:val="1"/>
        </w:numPr>
        <w:spacing w:after="120" w:line="300"/>
      </w:pPr>
      <w:r>
        <w:rPr>
          <w:rFonts w:ascii="Calibri" w:cs="Calibri" w:eastAsia="Calibri" w:hAnsi="Calibri"/>
          <w:sz w:val="22"/>
          <w:szCs w:val="22"/>
        </w:rPr>
        <w:t xml:space="preserve">Provide a single, authenticated web portal for both students and the HoD, with role-specific interfaces.</w:t>
      </w:r>
    </w:p>
    <w:p>
      <w:pPr>
        <w:pStyle w:val="ListParagraph"/>
        <w:numPr>
          <w:ilvl w:val="0"/>
          <w:numId w:val="1"/>
        </w:numPr>
        <w:spacing w:after="120" w:line="300"/>
      </w:pPr>
      <w:r>
        <w:rPr>
          <w:rFonts w:ascii="Calibri" w:cs="Calibri" w:eastAsia="Calibri" w:hAnsi="Calibri"/>
          <w:sz w:val="22"/>
          <w:szCs w:val="22"/>
        </w:rPr>
        <w:t xml:space="preserve">Guarantee that a project topic can never be allocated to two groups simultaneously, even under concurrent access.</w:t>
      </w:r>
    </w:p>
    <w:p>
      <w:pPr>
        <w:pStyle w:val="ListParagraph"/>
        <w:numPr>
          <w:ilvl w:val="0"/>
          <w:numId w:val="1"/>
        </w:numPr>
        <w:spacing w:after="120" w:line="300"/>
      </w:pPr>
      <w:r>
        <w:rPr>
          <w:rFonts w:ascii="Calibri" w:cs="Calibri" w:eastAsia="Calibri" w:hAnsi="Calibri"/>
          <w:sz w:val="22"/>
          <w:szCs w:val="22"/>
        </w:rPr>
        <w:t xml:space="preserve">Formalize the approval process as an explicit, auditable workflow rather than an informal conversation.</w:t>
      </w:r>
    </w:p>
    <w:p>
      <w:pPr>
        <w:pStyle w:val="ListParagraph"/>
        <w:numPr>
          <w:ilvl w:val="0"/>
          <w:numId w:val="1"/>
        </w:numPr>
        <w:spacing w:after="120" w:line="300"/>
      </w:pPr>
      <w:r>
        <w:rPr>
          <w:rFonts w:ascii="Calibri" w:cs="Calibri" w:eastAsia="Calibri" w:hAnsi="Calibri"/>
          <w:sz w:val="22"/>
          <w:szCs w:val="22"/>
        </w:rPr>
        <w:t xml:space="preserve">Let a group's progress be tracked automatically, tied to actual submitted work rather than self-reported status.</w:t>
      </w:r>
    </w:p>
    <w:p>
      <w:pPr>
        <w:pStyle w:val="ListParagraph"/>
        <w:numPr>
          <w:ilvl w:val="0"/>
          <w:numId w:val="1"/>
        </w:numPr>
        <w:spacing w:after="120" w:line="300"/>
      </w:pPr>
      <w:r>
        <w:rPr>
          <w:rFonts w:ascii="Calibri" w:cs="Calibri" w:eastAsia="Calibri" w:hAnsi="Calibri"/>
          <w:sz w:val="22"/>
          <w:szCs w:val="22"/>
        </w:rPr>
        <w:t xml:space="preserve">Centralize all department-to-student communication — approvals, feedback, deadlines, and general announcements — inside the same system used for the rest of the workflow.</w:t>
      </w:r>
    </w:p>
    <w:p>
      <w:pPr>
        <w:spacing w:after="100"/>
      </w:pPr>
    </w:p>
    <w:p>
      <w:pPr>
        <w:pStyle w:val="Heading1"/>
        <w:spacing w:after="200" w:before="360"/>
      </w:pPr>
      <w:r>
        <w:t xml:space="preserve">4. Scope of the Project</w:t>
      </w:r>
    </w:p>
    <w:p>
      <w:pPr>
        <w:spacing w:after="200" w:line="360"/>
        <w:jc w:val="both"/>
      </w:pPr>
      <w:r>
        <w:rPr>
          <w:rFonts w:ascii="Calibri" w:cs="Calibri" w:eastAsia="Calibri" w:hAnsi="Calibri"/>
          <w:sz w:val="22"/>
          <w:szCs w:val="22"/>
        </w:rPr>
        <w:t xml:space="preserve">The system covers the complete lifecycle of a final-year project from a student's first login through final submission: institutional-email-based registration, group formation via a leader-driven invite system, browsing a department-curated topic list or proposing a custom topic, a multi-stage HoD approval workflow, milestone-based progress tracking, synopsis and final-project submission, and role-based administrative tools for the HoD to manage topics, monitor groups, and configure department-wide policy such as deadlines and maximum group size. It does not attempt to replace institutional examination or grading systems; its scope ends at final-project submission and feedback.</w:t>
      </w:r>
    </w:p>
    <w:p>
      <w:pPr>
        <w:pStyle w:val="Heading1"/>
        <w:spacing w:after="200" w:before="360"/>
      </w:pPr>
      <w:r>
        <w:t xml:space="preserve">5. Existing System</w:t>
      </w:r>
    </w:p>
    <w:p>
      <w:pPr>
        <w:spacing w:after="200" w:line="360"/>
        <w:jc w:val="both"/>
      </w:pPr>
      <w:r>
        <w:rPr>
          <w:rFonts w:ascii="Calibri" w:cs="Calibri" w:eastAsia="Calibri" w:hAnsi="Calibri"/>
          <w:sz w:val="22"/>
          <w:szCs w:val="22"/>
        </w:rPr>
        <w:t xml:space="preserve">In most departments today, the “system” is a combination of a shared spreadsheet listing available topics, a WhatsApp or email thread where students request a topic from the HoD, and a manual mental record the HoD keeps of who has been allocated what. This approach has no mechanism to prevent two groups from requesting the same topic within the same hour; the resolution is typically “first group to physically ask” rather than anything the system itself enforces. Progress tracking depends entirely on the HoD remembering to follow up, and there is no persistent, searchable record of what feedback was given to which group and when.</w:t>
      </w:r>
    </w:p>
    <w:p>
      <w:pPr>
        <w:pStyle w:val="Heading1"/>
        <w:spacing w:after="200" w:before="360"/>
      </w:pPr>
      <w:r>
        <w:t xml:space="preserve">6. Proposed System</w:t>
      </w:r>
    </w:p>
    <w:p>
      <w:pPr>
        <w:spacing w:after="200" w:line="360"/>
        <w:jc w:val="both"/>
      </w:pPr>
      <w:r>
        <w:rPr>
          <w:rFonts w:ascii="Calibri" w:cs="Calibri" w:eastAsia="Calibri" w:hAnsi="Calibri"/>
          <w:sz w:val="22"/>
          <w:szCs w:val="22"/>
        </w:rPr>
        <w:t xml:space="preserve">ProjectHub is architected as a Next.js web application backed by Supabase (PostgreSQL, authentication, file storage, and real-time subscriptions), deployed on Vercel. The system is organized around the following core modules.</w:t>
      </w:r>
    </w:p>
    <w:p>
      <w:pPr>
        <w:spacing w:after="100" w:before="200"/>
      </w:pPr>
      <w:r>
        <w:rPr>
          <w:b/>
          <w:bCs/>
          <w:sz w:val="22"/>
          <w:szCs w:val="22"/>
        </w:rPr>
        <w:t xml:space="preserve">6.1 Authentication and Role Management</w:t>
      </w:r>
    </w:p>
    <w:p>
      <w:pPr>
        <w:spacing w:after="200" w:line="360"/>
        <w:jc w:val="both"/>
      </w:pPr>
      <w:r>
        <w:rPr>
          <w:rFonts w:ascii="Calibri" w:cs="Calibri" w:eastAsia="Calibri" w:hAnsi="Calibri"/>
          <w:sz w:val="22"/>
          <w:szCs w:val="22"/>
        </w:rPr>
        <w:t xml:space="preserve">Students self-register using their institutional email address; the domain is validated server-side against a configured allow-list so that non-institutional signups are rejected before an account is even created. HoD accounts are seeded directly by an administrator rather than self-registered, avoiding the circular problem of who approves the first HoD account. Both roles share a single login surface but are routed to entirely different interfaces after authentication.</w:t>
      </w:r>
    </w:p>
    <w:p>
      <w:pPr>
        <w:spacing w:after="100" w:before="200"/>
      </w:pPr>
      <w:r>
        <w:rPr>
          <w:b/>
          <w:bCs/>
          <w:sz w:val="22"/>
          <w:szCs w:val="22"/>
        </w:rPr>
        <w:t xml:space="preserve">6.2 Group Formation</w:t>
      </w:r>
    </w:p>
    <w:p>
      <w:pPr>
        <w:spacing w:after="200" w:line="360"/>
        <w:jc w:val="both"/>
      </w:pPr>
      <w:r>
        <w:rPr>
          <w:rFonts w:ascii="Calibri" w:cs="Calibri" w:eastAsia="Calibri" w:hAnsi="Calibri"/>
          <w:sz w:val="22"/>
          <w:szCs w:val="22"/>
        </w:rPr>
        <w:t xml:space="preserve">A student who is not yet part of a group can create one, becoming its leader, or can be invited by an existing leader after a department-scoped search. Acceptance and decline are both explicit actions, and a student can belong to at most one active group at a time — enforced not just in the application logic but as a database-level constraint, so it cannot be bypassed by a bug elsewhere in the code.</w:t>
      </w:r>
    </w:p>
    <w:p>
      <w:pPr>
        <w:spacing w:after="100" w:before="200"/>
      </w:pPr>
      <w:r>
        <w:rPr>
          <w:b/>
          <w:bCs/>
          <w:sz w:val="22"/>
          <w:szCs w:val="22"/>
        </w:rPr>
        <w:t xml:space="preserve">6.3 Topic Allocation and the Locking Problem</w:t>
      </w:r>
    </w:p>
    <w:p>
      <w:pPr>
        <w:spacing w:after="200" w:line="360"/>
        <w:jc w:val="both"/>
      </w:pPr>
      <w:r>
        <w:rPr>
          <w:rFonts w:ascii="Calibri" w:cs="Calibri" w:eastAsia="Calibri" w:hAnsi="Calibri"/>
          <w:sz w:val="22"/>
          <w:szCs w:val="22"/>
        </w:rPr>
        <w:t xml:space="preserve">This is the core correctness problem the system solves. When a group requests an available topic, the application does not read the topic's status and then write a new status as two separate steps — that pattern is vulnerable to a race condition where two groups could both read “available” microseconds apart and both proceed to lock it. Instead, the request is implemented as a single conditional database update: the topic's status is changed to “pending” only if it is still “available” at the exact moment the statement executes, with the row itself acting as the lock. If a second group's request arrives a moment later, the same statement matches zero rows and the application knows immediately that it lost the race, without any explicit locking code.</w:t>
      </w:r>
    </w:p>
    <w:p>
      <w:pPr>
        <w:spacing w:after="100" w:before="200"/>
      </w:pPr>
      <w:r>
        <w:rPr>
          <w:b/>
          <w:bCs/>
          <w:sz w:val="22"/>
          <w:szCs w:val="22"/>
        </w:rPr>
        <w:t xml:space="preserve">6.4 Approval Workflow</w:t>
      </w:r>
    </w:p>
    <w:p>
      <w:pPr>
        <w:spacing w:after="200" w:line="360"/>
        <w:jc w:val="both"/>
      </w:pPr>
      <w:r>
        <w:rPr>
          <w:rFonts w:ascii="Calibri" w:cs="Calibri" w:eastAsia="Calibri" w:hAnsi="Calibri"/>
          <w:sz w:val="22"/>
          <w:szCs w:val="22"/>
        </w:rPr>
        <w:t xml:space="preserve">Once requested, a topic enters a formal state machine visible to both sides. The HoD can approve it — which permanently locks it to the group and freezes their roster against further membership changes — reject it, returning the topic to the available pool, or request changes, which routes it back to the group along with a note, and allows them to revise and resubmit rather than starting over. Any topic left unattended by the HoD for twenty-four hours is automatically released back into the available pool by a scheduled background job, so a slow response never permanently blocks a topic that ought to be available to others.</w:t>
      </w:r>
    </w:p>
    <w:p>
      <w:pPr>
        <w:spacing w:after="100" w:before="200"/>
      </w:pPr>
      <w:r>
        <w:rPr>
          <w:b/>
          <w:bCs/>
          <w:sz w:val="22"/>
          <w:szCs w:val="22"/>
        </w:rPr>
        <w:t xml:space="preserve">6.5 Progress Tracking</w:t>
      </w:r>
    </w:p>
    <w:p>
      <w:pPr>
        <w:spacing w:after="200" w:line="360"/>
        <w:jc w:val="both"/>
      </w:pPr>
      <w:r>
        <w:rPr>
          <w:rFonts w:ascii="Calibri" w:cs="Calibri" w:eastAsia="Calibri" w:hAnsi="Calibri"/>
          <w:sz w:val="22"/>
          <w:szCs w:val="22"/>
        </w:rPr>
        <w:t xml:space="preserve">Once a topic is locked, the system generates a set of weighted milestones for that group, derived from a configurable template tied to the topic's category (a software project and an IoT project can have different milestone breakdowns). Some milestones — synopsis submission and final submission — can only be marked complete by an actual file upload or link submission passing through the system; they cannot be manually toggled, which keeps the displayed progress percentage honest rather than self-reported.</w:t>
      </w:r>
    </w:p>
    <w:p>
      <w:pPr>
        <w:spacing w:after="100" w:before="200"/>
      </w:pPr>
      <w:r>
        <w:rPr>
          <w:b/>
          <w:bCs/>
          <w:sz w:val="22"/>
          <w:szCs w:val="22"/>
        </w:rPr>
        <w:t xml:space="preserve">6.6 Submission and Feedback</w:t>
      </w:r>
    </w:p>
    <w:p>
      <w:pPr>
        <w:spacing w:after="200" w:line="360"/>
        <w:jc w:val="both"/>
      </w:pPr>
      <w:r>
        <w:rPr>
          <w:rFonts w:ascii="Calibri" w:cs="Calibri" w:eastAsia="Calibri" w:hAnsi="Calibri"/>
          <w:sz w:val="22"/>
          <w:szCs w:val="22"/>
        </w:rPr>
        <w:t xml:space="preserve">Synopsis documents are uploaded as PDF files to managed cloud storage; final submissions are recorded as a GitHub repository link, a live deployed application URL, and an optional demonstration video link, reflecting how software projects are actually delivered in practice rather than requiring a physical printout. A configurable department deadline is checked at submission time, and any submission made after it is transparently flagged as late rather than silently accepted. The HoD can attach written feedback to any individual submission, which the group sees directly inside the application.</w:t>
      </w:r>
    </w:p>
    <w:p>
      <w:pPr>
        <w:spacing w:after="100" w:before="200"/>
      </w:pPr>
      <w:r>
        <w:rPr>
          <w:b/>
          <w:bCs/>
          <w:sz w:val="22"/>
          <w:szCs w:val="22"/>
        </w:rPr>
        <w:t xml:space="preserve">6.7 Notifications</w:t>
      </w:r>
    </w:p>
    <w:p>
      <w:pPr>
        <w:spacing w:after="200" w:line="360"/>
        <w:jc w:val="both"/>
      </w:pPr>
      <w:r>
        <w:rPr>
          <w:rFonts w:ascii="Calibri" w:cs="Calibri" w:eastAsia="Calibri" w:hAnsi="Calibri"/>
          <w:sz w:val="22"/>
          <w:szCs w:val="22"/>
        </w:rPr>
        <w:t xml:space="preserve">Every significant event in the system — an invite, an approval decision, a feedback comment, a new department announcement — generates a notification delivered through three independent channels simultaneously: an in-app notification center, a transactional email, and a browser push notification. Selected notification types are actionable in place — a student can accept or decline a group invite, and the HoD can approve, reject, or request changes on a topic, directly from the notification itself without navigating to a separate page.</w:t>
      </w:r>
    </w:p>
    <w:p>
      <w:pPr>
        <w:spacing w:after="100" w:before="200"/>
      </w:pPr>
      <w:r>
        <w:rPr>
          <w:b/>
          <w:bCs/>
          <w:sz w:val="22"/>
          <w:szCs w:val="22"/>
        </w:rPr>
        <w:t xml:space="preserve">6.8 Communication</w:t>
      </w:r>
    </w:p>
    <w:p>
      <w:pPr>
        <w:spacing w:after="200" w:line="360"/>
        <w:jc w:val="both"/>
      </w:pPr>
      <w:r>
        <w:rPr>
          <w:rFonts w:ascii="Calibri" w:cs="Calibri" w:eastAsia="Calibri" w:hAnsi="Calibri"/>
          <w:sz w:val="22"/>
          <w:szCs w:val="22"/>
        </w:rPr>
        <w:t xml:space="preserve">Each group has a private real-time chat visible only to its own members, and every student has a private one-to-one channel with the HoD. Both use WebSocket-based real-time delivery so messages appear instantly for the other participant without a page refresh, and access to each conversation is enforced at the database level so that one group can never read another group's messages.</w:t>
      </w:r>
    </w:p>
    <w:p>
      <w:pPr>
        <w:spacing w:after="100" w:before="200"/>
      </w:pPr>
      <w:r>
        <w:rPr>
          <w:b/>
          <w:bCs/>
          <w:sz w:val="22"/>
          <w:szCs w:val="22"/>
        </w:rPr>
        <w:t xml:space="preserve">6.9 Administrative Tools</w:t>
      </w:r>
    </w:p>
    <w:p>
      <w:pPr>
        <w:spacing w:after="200" w:line="360"/>
        <w:jc w:val="both"/>
      </w:pPr>
      <w:r>
        <w:rPr>
          <w:rFonts w:ascii="Calibri" w:cs="Calibri" w:eastAsia="Calibri" w:hAnsi="Calibri"/>
          <w:sz w:val="22"/>
          <w:szCs w:val="22"/>
        </w:rPr>
        <w:t xml:space="preserve">The HoD interface includes a live dashboard of department-wide statistics, full create, edit and delete control over the topic pool, a view of every group with their current topic and progress, an announcement broadcast tool, and a settings page controlling academic year, maximum group size, and the submission deadline — all of which take effect immediately across the student-facing application.</w:t>
      </w:r>
    </w:p>
    <w:p>
      <w:pPr>
        <w:pStyle w:val="Heading1"/>
        <w:spacing w:after="200" w:before="360"/>
      </w:pPr>
      <w:r>
        <w:t xml:space="preserve">7. Technology Stack</w:t>
      </w:r>
    </w:p>
    <w:p>
      <w:pPr>
        <w:pStyle w:val="ListParagraph"/>
        <w:numPr>
          <w:ilvl w:val="0"/>
          <w:numId w:val="1"/>
        </w:numPr>
        <w:spacing w:after="120" w:line="300"/>
      </w:pPr>
      <w:r>
        <w:rPr>
          <w:rFonts w:ascii="Calibri" w:cs="Calibri" w:eastAsia="Calibri" w:hAnsi="Calibri"/>
          <w:sz w:val="22"/>
          <w:szCs w:val="22"/>
        </w:rPr>
        <w:t xml:space="preserve">Frontend: Next.js (React, App Router), TypeScript, Tailwind CSS</w:t>
      </w:r>
    </w:p>
    <w:p>
      <w:pPr>
        <w:pStyle w:val="ListParagraph"/>
        <w:numPr>
          <w:ilvl w:val="0"/>
          <w:numId w:val="1"/>
        </w:numPr>
        <w:spacing w:after="120" w:line="300"/>
      </w:pPr>
      <w:r>
        <w:rPr>
          <w:rFonts w:ascii="Calibri" w:cs="Calibri" w:eastAsia="Calibri" w:hAnsi="Calibri"/>
          <w:sz w:val="22"/>
          <w:szCs w:val="22"/>
        </w:rPr>
        <w:t xml:space="preserve">Backend &amp; Database: Supabase (PostgreSQL, Row-Level Security, Realtime, Storage)</w:t>
      </w:r>
    </w:p>
    <w:p>
      <w:pPr>
        <w:pStyle w:val="ListParagraph"/>
        <w:numPr>
          <w:ilvl w:val="0"/>
          <w:numId w:val="1"/>
        </w:numPr>
        <w:spacing w:after="120" w:line="300"/>
      </w:pPr>
      <w:r>
        <w:rPr>
          <w:rFonts w:ascii="Calibri" w:cs="Calibri" w:eastAsia="Calibri" w:hAnsi="Calibri"/>
          <w:sz w:val="22"/>
          <w:szCs w:val="22"/>
        </w:rPr>
        <w:t xml:space="preserve">Hosting &amp; Automation: Vercel (serverless functions, scheduled cron jobs)</w:t>
      </w:r>
    </w:p>
    <w:p>
      <w:pPr>
        <w:pStyle w:val="ListParagraph"/>
        <w:numPr>
          <w:ilvl w:val="0"/>
          <w:numId w:val="1"/>
        </w:numPr>
        <w:spacing w:after="120" w:line="300"/>
      </w:pPr>
      <w:r>
        <w:rPr>
          <w:rFonts w:ascii="Calibri" w:cs="Calibri" w:eastAsia="Calibri" w:hAnsi="Calibri"/>
          <w:sz w:val="22"/>
          <w:szCs w:val="22"/>
        </w:rPr>
        <w:t xml:space="preserve">Email delivery: Resend (transactional email API)</w:t>
      </w:r>
    </w:p>
    <w:p>
      <w:pPr>
        <w:pStyle w:val="ListParagraph"/>
        <w:numPr>
          <w:ilvl w:val="0"/>
          <w:numId w:val="1"/>
        </w:numPr>
        <w:spacing w:after="120" w:line="300"/>
      </w:pPr>
      <w:r>
        <w:rPr>
          <w:rFonts w:ascii="Calibri" w:cs="Calibri" w:eastAsia="Calibri" w:hAnsi="Calibri"/>
          <w:sz w:val="22"/>
          <w:szCs w:val="22"/>
        </w:rPr>
        <w:t xml:space="preserve">Push notifications: Web Push API with VAPID authentication</w:t>
      </w:r>
    </w:p>
    <w:p>
      <w:pPr>
        <w:spacing w:after="100"/>
      </w:pPr>
    </w:p>
    <w:p>
      <w:pPr>
        <w:pStyle w:val="Heading1"/>
        <w:spacing w:after="200" w:before="360"/>
      </w:pPr>
      <w:r>
        <w:t xml:space="preserve">8. Security Design</w:t>
      </w:r>
    </w:p>
    <w:p>
      <w:pPr>
        <w:spacing w:after="200" w:line="360"/>
        <w:jc w:val="both"/>
      </w:pPr>
      <w:r>
        <w:rPr>
          <w:rFonts w:ascii="Calibri" w:cs="Calibri" w:eastAsia="Calibri" w:hAnsi="Calibri"/>
          <w:sz w:val="22"/>
          <w:szCs w:val="22"/>
        </w:rPr>
        <w:t xml:space="preserve">Access control is enforced primarily at the database layer through PostgreSQL Row-Level Security policies rather than relying solely on application-level checks, so that a flaw in the frontend cannot expose data the policy layer would otherwise block. A group's proposed solution for a custom topic is a deliberately sensitive field — visible to that group and the HoD, but not to competing groups who could otherwise see it while browsing — and is protected using a security-definer database function that checks group membership before returning the value, rather than being exposed as an ordinary readable column.</w:t>
      </w:r>
    </w:p>
    <w:p>
      <w:pPr>
        <w:pStyle w:val="Heading1"/>
        <w:spacing w:after="200" w:before="360"/>
      </w:pPr>
      <w:r>
        <w:t xml:space="preserve">9. Advantages of the Proposed System</w:t>
      </w:r>
    </w:p>
    <w:p>
      <w:pPr>
        <w:pStyle w:val="ListParagraph"/>
        <w:numPr>
          <w:ilvl w:val="0"/>
          <w:numId w:val="1"/>
        </w:numPr>
        <w:spacing w:after="120" w:line="300"/>
      </w:pPr>
      <w:r>
        <w:rPr>
          <w:rFonts w:ascii="Calibri" w:cs="Calibri" w:eastAsia="Calibri" w:hAnsi="Calibri"/>
          <w:sz w:val="22"/>
          <w:szCs w:val="22"/>
        </w:rPr>
        <w:t xml:space="preserve">Eliminates duplicate topic allocation through atomic, race-condition-safe locking rather than manual coordination.</w:t>
      </w:r>
    </w:p>
    <w:p>
      <w:pPr>
        <w:pStyle w:val="ListParagraph"/>
        <w:numPr>
          <w:ilvl w:val="0"/>
          <w:numId w:val="1"/>
        </w:numPr>
        <w:spacing w:after="120" w:line="300"/>
      </w:pPr>
      <w:r>
        <w:rPr>
          <w:rFonts w:ascii="Calibri" w:cs="Calibri" w:eastAsia="Calibri" w:hAnsi="Calibri"/>
          <w:sz w:val="22"/>
          <w:szCs w:val="22"/>
        </w:rPr>
        <w:t xml:space="preserve">Creates a permanent, auditable record of every approval decision and the reasoning behind it.</w:t>
      </w:r>
    </w:p>
    <w:p>
      <w:pPr>
        <w:pStyle w:val="ListParagraph"/>
        <w:numPr>
          <w:ilvl w:val="0"/>
          <w:numId w:val="1"/>
        </w:numPr>
        <w:spacing w:after="120" w:line="300"/>
      </w:pPr>
      <w:r>
        <w:rPr>
          <w:rFonts w:ascii="Calibri" w:cs="Calibri" w:eastAsia="Calibri" w:hAnsi="Calibri"/>
          <w:sz w:val="22"/>
          <w:szCs w:val="22"/>
        </w:rPr>
        <w:t xml:space="preserve">Ties progress percentages to verifiable submission events instead of self-reported status.</w:t>
      </w:r>
    </w:p>
    <w:p>
      <w:pPr>
        <w:pStyle w:val="ListParagraph"/>
        <w:numPr>
          <w:ilvl w:val="0"/>
          <w:numId w:val="1"/>
        </w:numPr>
        <w:spacing w:after="120" w:line="300"/>
      </w:pPr>
      <w:r>
        <w:rPr>
          <w:rFonts w:ascii="Calibri" w:cs="Calibri" w:eastAsia="Calibri" w:hAnsi="Calibri"/>
          <w:sz w:val="22"/>
          <w:szCs w:val="22"/>
        </w:rPr>
        <w:t xml:space="preserve">Consolidates three separate communication surfaces (in-app, email, push) so no notification depends on a student remembering to check one particular app.</w:t>
      </w:r>
    </w:p>
    <w:p>
      <w:pPr>
        <w:pStyle w:val="ListParagraph"/>
        <w:numPr>
          <w:ilvl w:val="0"/>
          <w:numId w:val="1"/>
        </w:numPr>
        <w:spacing w:after="120" w:line="300"/>
      </w:pPr>
      <w:r>
        <w:rPr>
          <w:rFonts w:ascii="Calibri" w:cs="Calibri" w:eastAsia="Calibri" w:hAnsi="Calibri"/>
          <w:sz w:val="22"/>
          <w:szCs w:val="22"/>
        </w:rPr>
        <w:t xml:space="preserve">Gives the HoD department-wide visibility without needing to individually follow up with each group.</w:t>
      </w:r>
    </w:p>
    <w:p>
      <w:pPr>
        <w:spacing w:after="100"/>
      </w:pPr>
    </w:p>
    <w:p>
      <w:pPr>
        <w:pStyle w:val="Heading1"/>
        <w:spacing w:after="200" w:before="360"/>
      </w:pPr>
      <w:r>
        <w:t xml:space="preserve">10. Future Scope</w:t>
      </w:r>
    </w:p>
    <w:p>
      <w:pPr>
        <w:spacing w:after="200" w:line="360"/>
        <w:jc w:val="both"/>
      </w:pPr>
      <w:r>
        <w:rPr>
          <w:rFonts w:ascii="Calibri" w:cs="Calibri" w:eastAsia="Calibri" w:hAnsi="Calibri"/>
          <w:sz w:val="22"/>
          <w:szCs w:val="22"/>
        </w:rPr>
        <w:t xml:space="preserve">Planned extensions include department-configurable milestone templates through the admin interface rather than fixed defaults, similarity-based plagiarism detection across submitted synopses in addition to the existing topic-title duplicate check, and a mobile-installable version of the application whose push notifications work natively on iOS home-screen installs.</w:t>
      </w:r>
    </w:p>
    <w:p>
      <w:pPr>
        <w:pStyle w:val="Heading1"/>
        <w:spacing w:after="200" w:before="360"/>
      </w:pPr>
      <w:r>
        <w:t xml:space="preserve">11. Conclusion</w:t>
      </w:r>
    </w:p>
    <w:p>
      <w:pPr>
        <w:spacing w:after="200" w:line="360"/>
        <w:jc w:val="both"/>
      </w:pPr>
      <w:r>
        <w:rPr>
          <w:rFonts w:ascii="Calibri" w:cs="Calibri" w:eastAsia="Calibri" w:hAnsi="Calibri"/>
          <w:sz w:val="22"/>
          <w:szCs w:val="22"/>
        </w:rPr>
        <w:t xml:space="preserve">ProjectHub replaces an informal, error-prone process with a single system that both enforces correctness where it matters — such as preventing duplicate topic allocation — and gives both students and the HoD a shared, real-time view of where every group actually stands. By building the core guarantees of locking, security, and progress verification into the database layer rather than trusting application code alone, the system remains reliable even as new features are added on top of it.</w:t>
      </w:r>
    </w:p>
    <w:p>
      <w:pPr>
        <w:pStyle w:val="Heading1"/>
        <w:spacing w:after="200" w:before="360"/>
      </w:pPr>
      <w:r>
        <w:t xml:space="preserve">References</w:t>
      </w:r>
    </w:p>
    <w:p>
      <w:pPr>
        <w:pStyle w:val="ListParagraph"/>
        <w:numPr>
          <w:ilvl w:val="0"/>
          <w:numId w:val="1"/>
        </w:numPr>
        <w:spacing w:after="120" w:line="300"/>
      </w:pPr>
      <w:r>
        <w:rPr>
          <w:rFonts w:ascii="Calibri" w:cs="Calibri" w:eastAsia="Calibri" w:hAnsi="Calibri"/>
          <w:sz w:val="22"/>
          <w:szCs w:val="22"/>
        </w:rPr>
        <w:t xml:space="preserve">Next.js Documentation, Vercel Inc. — https://nextjs.org/docs</w:t>
      </w:r>
    </w:p>
    <w:p>
      <w:pPr>
        <w:pStyle w:val="ListParagraph"/>
        <w:numPr>
          <w:ilvl w:val="0"/>
          <w:numId w:val="1"/>
        </w:numPr>
        <w:spacing w:after="120" w:line="300"/>
      </w:pPr>
      <w:r>
        <w:rPr>
          <w:rFonts w:ascii="Calibri" w:cs="Calibri" w:eastAsia="Calibri" w:hAnsi="Calibri"/>
          <w:sz w:val="22"/>
          <w:szCs w:val="22"/>
        </w:rPr>
        <w:t xml:space="preserve">Supabase Documentation, Supabase Inc. — https://supabase.com/docs</w:t>
      </w:r>
    </w:p>
    <w:p>
      <w:pPr>
        <w:pStyle w:val="ListParagraph"/>
        <w:numPr>
          <w:ilvl w:val="0"/>
          <w:numId w:val="1"/>
        </w:numPr>
        <w:spacing w:after="120" w:line="300"/>
      </w:pPr>
      <w:r>
        <w:rPr>
          <w:rFonts w:ascii="Calibri" w:cs="Calibri" w:eastAsia="Calibri" w:hAnsi="Calibri"/>
          <w:sz w:val="22"/>
          <w:szCs w:val="22"/>
        </w:rPr>
        <w:t xml:space="preserve">PostgreSQL Row Level Security Documentation, The PostgreSQL Global Development Group</w:t>
      </w:r>
    </w:p>
    <w:p>
      <w:pPr>
        <w:pStyle w:val="ListParagraph"/>
        <w:numPr>
          <w:ilvl w:val="0"/>
          <w:numId w:val="1"/>
        </w:numPr>
        <w:spacing w:after="120" w:line="300"/>
      </w:pPr>
      <w:r>
        <w:rPr>
          <w:rFonts w:ascii="Calibri" w:cs="Calibri" w:eastAsia="Calibri" w:hAnsi="Calibri"/>
          <w:sz w:val="22"/>
          <w:szCs w:val="22"/>
        </w:rPr>
        <w:t xml:space="preserve">Web Push API, W3C Working Draft</w:t>
      </w:r>
    </w:p>
    <w:p>
      <w:pPr>
        <w:pStyle w:val="ListParagraph"/>
        <w:numPr>
          <w:ilvl w:val="0"/>
          <w:numId w:val="1"/>
        </w:numPr>
        <w:spacing w:after="120" w:line="300"/>
      </w:pPr>
      <w:r>
        <w:rPr>
          <w:rFonts w:ascii="Calibri" w:cs="Calibri" w:eastAsia="Calibri" w:hAnsi="Calibri"/>
          <w:sz w:val="22"/>
          <w:szCs w:val="22"/>
        </w:rPr>
        <w:t xml:space="preserve">Resend API Documentation, Resend Inc.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ProjectHub —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2026-09-23T19:29:26.253Z</dcterms:created>
  <dcterms:modified xsi:type="dcterms:W3CDTF">2026-09-23T19:29:26.262Z</dcterms:modified>
</cp:coreProperties>
</file>

<file path=docProps/custom.xml><?xml version="1.0" encoding="utf-8"?>
<Properties xmlns="http://schemas.openxmlformats.org/officeDocument/2006/custom-properties" xmlns:vt="http://schemas.openxmlformats.org/officeDocument/2006/docPropsVTypes"/>
</file>