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4"/>
        </w:rPr>
        <w:t>Dynamic Circuit Strategies for Long-Range Entanglement under Local Connectivity</w:t>
      </w:r>
    </w:p>
    <w:p>
      <w:pPr>
        <w:jc w:val="center"/>
      </w:pPr>
      <w:r>
        <w:rPr>
          <w:rFonts w:ascii="Times New Roman" w:hAnsi="Times New Roman"/>
          <w:i/>
          <w:sz w:val="22"/>
        </w:rPr>
        <w:t>Static Chains, Entanglement Swapping, and PRX Quantum 5.030339 Reproduction</w:t>
      </w:r>
    </w:p>
    <w:p>
      <w:pPr>
        <w:jc w:val="center"/>
      </w:pPr>
      <w:r>
        <w:rPr>
          <w:rFonts w:ascii="Times New Roman" w:hAnsi="Times New Roman"/>
          <w:i/>
          <w:sz w:val="18"/>
        </w:rPr>
        <w:t>Reproducible simulation study (Qiskit Aer) — integrated graduate project report</w:t>
      </w:r>
    </w:p>
    <w:p>
      <w:pPr>
        <w:jc w:val="center"/>
      </w:pPr>
      <w:r>
        <w:rPr>
          <w:sz w:val="20"/>
        </w:rPr>
        <w:t>HE, CHIEN-YI</w:t>
        <w:br/>
        <w:t>Prof. Hsiu-Chuan Hsu</w:t>
        <w:br/>
        <w:t>Department of Applied Physics / Electronic Physics Program, National Chengchi University</w:t>
        <w:br/>
        <w:t>June 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spacing w:after="120"/>
        <w:jc w:val="both"/>
      </w:pPr>
      <w:r>
        <w:rPr>
          <w:b w:val="0"/>
          <w:i w:val="0"/>
          <w:sz w:val="22"/>
        </w:rPr>
        <w:t>We study long-range Bell-state preparation between endpoint qubits on a ladder connectivity graph where two-qubit gates are restricted to nearest-neighbor nodes (Ephys Challenge 2026). Strategy A (static GHZ chain, 2L−1 CNOTs) is compared with Strategy B (entanglement swapping, L CNOTs, odd L) under one shared Qiskit Aer noise model (8192 shots). After reading Bäumer et al. (PRX Quantum 5, 030339), we explicitly separate (i) competition-original ladder simulations, (ii) circuit reproduction of Fig. 1(a) and Fig. 2(b), and (iii) qualitative crossover / error-budget analysis mapped to Section III and Appendix B.2. Table 1 lists every paper location and whether we imitate its mechanism or reproduce its circuits.</w:t>
      </w:r>
    </w:p>
    <w:p>
      <w:pPr>
        <w:spacing w:after="120"/>
        <w:jc w:val="both"/>
      </w:pPr>
      <w:r>
        <w:rPr>
          <w:b w:val="0"/>
          <w:i/>
          <w:sz w:val="22"/>
        </w:rPr>
        <w:t>Keywords: dynamic quantum circuits, long-range entanglement, entanglement swapping, ladder topology, NISQ</w:t>
      </w:r>
    </w:p>
    <w:p>
      <w:pPr>
        <w:pStyle w:val="Heading2"/>
      </w:pPr>
      <w:r>
        <w:t>Author contributions</w:t>
      </w:r>
    </w:p>
    <w:p>
      <w:pPr>
        <w:pStyle w:val="ListBullet"/>
      </w:pPr>
      <w:r>
        <w:t>Ephys Challenge ladder circuits, resource formulas, and noisy crossover (original competition work).</w:t>
      </w:r>
    </w:p>
    <w:p>
      <w:pPr>
        <w:pStyle w:val="ListBullet"/>
      </w:pPr>
      <w:r>
        <w:t>Independent reproduction of PRX Quantum Fig. 1(a) LRCX and Fig. 2(b) GHZ circuits (35 pytest checks).</w:t>
      </w:r>
    </w:p>
    <w:p>
      <w:pPr>
        <w:pStyle w:val="ListBullet"/>
      </w:pPr>
      <w:r>
        <w:t>Paper-mapped error-budget analysis (Appendix B.2) and qualitative crossover discussion (Section III).</w:t>
      </w:r>
    </w:p>
    <w:p>
      <w:pPr>
        <w:pStyle w:val="Heading1"/>
      </w:pPr>
      <w:r>
        <w:t>1. Introduction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Introduction — dynamic circuits under local connectivity. </w:t>
      </w:r>
      <w:r>
        <w:rPr>
          <w:rFonts w:ascii="Times New Roman" w:hAnsi="Times New Roman"/>
          <w:i/>
          <w:sz w:val="19"/>
        </w:rPr>
        <w:t>Our ladder endpoints e₀,e₁ problem is competition-specific; we use the paper as the benchmark for measurement-based routing and for quantitative circuit reproduction.</w:t>
      </w:r>
    </w:p>
    <w:p>
      <w:pPr>
        <w:spacing w:after="120"/>
        <w:jc w:val="both"/>
      </w:pPr>
      <w:r>
        <w:rPr>
          <w:b w:val="0"/>
          <w:i w:val="0"/>
          <w:sz w:val="22"/>
        </w:rPr>
        <w:t>Superconducting processors restrict two-qubit gates to nearest neighbors. Dynamic circuits use mid-circuit measurement and feed-forward for effectively constant-depth routing [Bäumer et al., PRX Quantum 5, 030339 (2024)]. On a ladder graph we ask: under fair noise, how do static GHZ-style Bell preparation and measurement-based entanglement swapping trade CNOT resources against endpoint fidelity?</w:t>
      </w:r>
    </w:p>
    <w:p>
      <w:pPr>
        <w:pStyle w:val="Heading1"/>
      </w:pPr>
      <w:r>
        <w:t>2. Bell states and verification</w:t>
      </w:r>
    </w:p>
    <w:p>
      <w:pPr>
        <w:pStyle w:val="ListBullet"/>
      </w:pPr>
      <w:r>
        <w:t>Target |Φ+⟩ on endpoints (e₀,e₁) ↔ (q₀,q_L); P(00)+P(11) is the primary noisy diagnostic.</w:t>
      </w:r>
    </w:p>
    <w:p>
      <w:pPr>
        <w:pStyle w:val="ListBullet"/>
      </w:pPr>
      <w:r>
        <w:t>Ideal checks: statevector partial trace, CHSH correlators (Tsirelson bound 2√2).</w:t>
      </w:r>
    </w:p>
    <w:p>
      <w:pPr>
        <w:pStyle w:val="ListBullet"/>
      </w:pPr>
      <w:r>
        <w:t>Swapping uses Bell measurement + X/Z feed-forward (same Pauli-frame logic as PRX LRCX).</w:t>
      </w:r>
    </w:p>
    <w:p>
      <w:pPr>
        <w:pStyle w:val="ListBullet"/>
      </w:pPr>
      <w:r>
        <w:t>Static chain: H(e₀) → forward CNOT → backward CNOT uncomputes interior qubits.</w:t>
      </w:r>
    </w:p>
    <w:p>
      <w:r>
        <w:drawing>
          <wp:inline xmlns:a="http://schemas.openxmlformats.org/drawingml/2006/main" xmlns:pic="http://schemas.openxmlformats.org/drawingml/2006/picture">
            <wp:extent cx="5486400" cy="2262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topology_lad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1. Ladder topology and endpoint notation (competition setting).</w:t>
      </w:r>
    </w:p>
    <w:p>
      <w:r>
        <w:drawing>
          <wp:inline xmlns:a="http://schemas.openxmlformats.org/drawingml/2006/main" xmlns:pic="http://schemas.openxmlformats.org/drawingml/2006/picture">
            <wp:extent cx="5486400" cy="19890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topology_single_r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9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2. Strategy A: single-rail static chain abstraction.</w:t>
      </w:r>
    </w:p>
    <w:p>
      <w:r>
        <w:drawing>
          <wp:inline xmlns:a="http://schemas.openxmlformats.org/drawingml/2006/main" xmlns:pic="http://schemas.openxmlformats.org/drawingml/2006/picture">
            <wp:extent cx="5486400" cy="2398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topology_zigz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3. Zigzag Hamiltonian path on the ladder (reference topology).</w:t>
      </w:r>
    </w:p>
    <w:p>
      <w:pPr>
        <w:pStyle w:val="Heading1"/>
      </w:pPr>
      <w:r>
        <w:t>3. Methods</w:t>
      </w:r>
    </w:p>
    <w:p>
      <w:pPr>
        <w:pStyle w:val="Heading2"/>
      </w:pPr>
      <w:r>
        <w:t>3.1 Circuit families (Ephys Challenge)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mechanism (imitation) — Bell measurement + Pauli feed-forward throughout Fig. 1(a). </w:t>
      </w:r>
      <w:r>
        <w:rPr>
          <w:rFonts w:ascii="Times New Roman" w:hAnsi="Times New Roman"/>
          <w:i/>
          <w:sz w:val="19"/>
        </w:rPr>
        <w:t>Strategy B (entanglement swapping) implements the same teleportation-style frame corrections as the dynamic LRCX branch, adapted to ladder Bell preparation rather than gate teleportation.</w:t>
      </w:r>
    </w:p>
    <w:p>
      <w:pPr>
        <w:spacing w:after="120"/>
        <w:jc w:val="both"/>
      </w:pPr>
      <w:r>
        <w:rPr>
          <w:b w:val="0"/>
          <w:i w:val="0"/>
          <w:sz w:val="22"/>
        </w:rPr>
        <w:t>Strategy A: H(e₀) → forward CX → reverse CX (2L−1 CNOTs). Strategy B: adjacent |Φ+⟩ pairs, Bell measurement, X/Z feed-forward (L CNOTs, odd L). Zigzag uses 2(L+1) qubits on full ladder edges (topology reference). Noisy runs use classical post-decode when if_test is unstable in Aer.</w:t>
      </w:r>
    </w:p>
    <w:p>
      <w:pPr>
        <w:pStyle w:val="Heading2"/>
      </w:pPr>
      <w:r>
        <w:t>3.2 Shared noise model (Ephys simulations)</w:t>
      </w:r>
    </w:p>
    <w:p>
      <w:pPr>
        <w:spacing w:after="120"/>
      </w:pPr>
      <w:r>
        <w:rPr>
          <w:i/>
          <w:sz w:val="20"/>
        </w:rPr>
        <w:t>Table 2. Shared Aer noise parameters (not PRX device calibration).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5"/>
        <w:gridCol w:w="3245"/>
        <w:gridCol w:w="3245"/>
      </w:tblGrid>
      <w:tr>
        <w:tc>
          <w:tcPr>
            <w:tcW w:type="dxa" w:w="3245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p(1q), p(2q)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0.001, 0.01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Depolarizing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p_readout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Readout flip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T1, T2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60 μs, 80 μs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Thermal relaxation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Classical latency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2500 ns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Endpoint wait (swapping)</w:t>
            </w:r>
          </w:p>
        </w:tc>
      </w:tr>
    </w:tbl>
    <w:p/>
    <w:p>
      <w:pPr>
        <w:pStyle w:val="Heading2"/>
      </w:pPr>
      <w:r>
        <w:t>3.3 PRX Quantum 5.030339: imitation vs. reproduction map</w:t>
      </w:r>
    </w:p>
    <w:p>
      <w:pPr>
        <w:spacing w:after="120"/>
        <w:jc w:val="both"/>
      </w:pPr>
      <w:r>
        <w:rPr>
          <w:b w:val="0"/>
          <w:i w:val="0"/>
          <w:sz w:val="22"/>
        </w:rPr>
        <w:t>The following table is the central reference for reviewers: each row cites a specific location in PRX Quantum 5, 030339 and states whether our work reproduces the published circuit/analysis or only imitates the underlying mechanism / draws a qualitative analogy. Reproduce = rebuilt circuits or formulas with automated tests; Imitate = same physics idea in a different task; Qualitative analogy = compare trends only (different noise calibration).</w:t>
      </w:r>
    </w:p>
    <w:p>
      <w:pPr>
        <w:spacing w:after="120"/>
      </w:pPr>
      <w:r>
        <w:rPr>
          <w:i/>
          <w:sz w:val="20"/>
        </w:rPr>
        <w:t>Table 1. Mapping to Bäumer et al., PRX Quantum 5, 030339 (2024): what we imitate vs. reproduce.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Paper location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Relation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This report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Code / artifact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1(a), right — dynamic LRCX + feed-forward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prx/circuits/cnot_teleportation.py; pytest (35 passed)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1(a), middle — unitary ancilla + SWAP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build_cnot_unitary_swap(); build_cnot_unitary_ancilla_ic()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1(a), left — measure then classically correct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build_cnot_postprocessing(); simulate_cnot_branches()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2(b), left — unitary GHZ chain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prx/circuits/ghz_preparation.py → build_ghz_unitary()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2(b), right — dynamic GHZ (O(1) 2Q depth)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build_ghz_dynamic(); count_ghz_dynamic_resources()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2(c) — gate / depth resources vs distance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Qualitative analogy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§4.1, Figure 1, Table 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ephys/competition_suite.py → resource_formula_table.csv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Sec. III — dynamic vs. unitary crossover (hardware)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Qualitative analogy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§4.3, Figure 3, §5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 vs. swapping under shared Aer noise (Wilson 95% CI)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Appendix B.2 — λ_tot error budget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 (analysis)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§4.5, Figures 4–5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scripts/error_budget_analysis.py (μ, λ_idle, λ_CNOT, λ_meas from paper)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Bell measurement + Pauli feed-forward (throughout)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Mechanism imitation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§3.1, §4.3, Figure 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 generate_swapping_circuit() — Strategy B (odd L)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Static GHZ-style chain (unitary entangling sweep)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Conceptual analogy to Fig. 2(b) left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§3.1, §4.1, Figure 6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 generate_ladder_bell_circuit() — Strategy A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Intro: dynamic circuits under local connectivity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Motivation (context)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 ladder endpoints e₀,e₁; not a hardware claim</w:t>
            </w:r>
          </w:p>
        </w:tc>
      </w:tr>
    </w:tbl>
    <w:p/>
    <w:p>
      <w:pPr>
        <w:pStyle w:val="Heading2"/>
      </w:pPr>
      <w:r>
        <w:t>3.4 PRX circuit reproduction (code)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Fig. 1(a) and Fig. 2(b) — full circuit families. </w:t>
      </w:r>
      <w:r>
        <w:rPr>
          <w:rFonts w:ascii="Times New Roman" w:hAnsi="Times New Roman"/>
          <w:i/>
          <w:sz w:val="19"/>
        </w:rPr>
        <w:t>35 pytest assertions on statevector fidelity and dynamic/unitary equivalence; see Table 4–5.</w:t>
      </w:r>
    </w:p>
    <w:p>
      <w:r>
        <w:rPr>
          <w:b/>
          <w:sz w:val="20"/>
        </w:rPr>
        <w:t>Listing 1. PRX equivalence tests.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prx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python3 -m pytest verify/test_equivalence.py -q  # 35 passed</w:t>
      </w:r>
    </w:p>
    <w:p/>
    <w:p>
      <w:pPr>
        <w:pStyle w:val="Heading1"/>
      </w:pPr>
      <w:r>
        <w:t>4. Results</w:t>
      </w:r>
    </w:p>
    <w:p>
      <w:pPr>
        <w:pStyle w:val="Heading2"/>
      </w:pPr>
      <w:r>
        <w:t>4.1 Gate resources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Fig. 2(c) — CNOT / depth scaling. </w:t>
      </w:r>
      <w:r>
        <w:rPr>
          <w:rFonts w:ascii="Times New Roman" w:hAnsi="Times New Roman"/>
          <w:i/>
          <w:sz w:val="19"/>
        </w:rPr>
        <w:t>Our ideal CNOT vs L plot mirrors the paper's resource comparison spirit; Strategy A aligns with unitary GHZ scaling (2L−1), swapping with lower CX for odd L.</w:t>
      </w:r>
    </w:p>
    <w:p>
      <w:r>
        <w:drawing>
          <wp:inline xmlns:a="http://schemas.openxmlformats.org/drawingml/2006/main" xmlns:pic="http://schemas.openxmlformats.org/drawingml/2006/picture">
            <wp:extent cx="548640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s_cx_vs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4. Ideal CNOT count vs L.</w:t>
      </w:r>
    </w:p>
    <w:p>
      <w:pPr>
        <w:spacing w:after="120"/>
      </w:pPr>
      <w:r>
        <w:rPr>
          <w:i/>
          <w:sz w:val="20"/>
        </w:rPr>
        <w:t>Table 3. Resources at L=5 (from resource_formula_table.csv).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CNOT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Depth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Mid-circuit meas.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Static GHZ (single-rail)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Entanglement 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Two-rail 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4.2 CHSH verification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Ephys Challenge (original) — —. </w:t>
      </w:r>
      <w:r>
        <w:rPr>
          <w:rFonts w:ascii="Times New Roman" w:hAnsi="Times New Roman"/>
          <w:i/>
          <w:sz w:val="19"/>
        </w:rPr>
        <w:t>Ideal CHSH sanity check for |Φ+⟩ endpoints (Ephys competition analysis).</w:t>
      </w:r>
    </w:p>
    <w:p>
      <w:r>
        <w:drawing>
          <wp:inline xmlns:a="http://schemas.openxmlformats.org/drawingml/2006/main" xmlns:pic="http://schemas.openxmlformats.org/drawingml/2006/picture">
            <wp:extent cx="5486400" cy="47177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hsh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5. CHSH correlator: ideal (flat at 2√2) vs noisy static/zigzag.</w:t>
      </w:r>
    </w:p>
    <w:p>
      <w:pPr>
        <w:pStyle w:val="Heading2"/>
      </w:pPr>
      <w:r>
        <w:t>4.3 Noisy Bell diagnostic and crossover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Section III — dynamic vs. unitary crossover on hardware. </w:t>
      </w:r>
      <w:r>
        <w:rPr>
          <w:rFonts w:ascii="Times New Roman" w:hAnsi="Times New Roman"/>
          <w:i/>
          <w:sz w:val="19"/>
        </w:rPr>
        <w:t>Static (unitary-depth) vs. swapping (measurement-heavy) under Aer noise parallels the paper's short-distance unitary advantage and long-distance dynamic trend; parameters differ — trends only.</w:t>
      </w:r>
    </w:p>
    <w:p>
      <w:pPr>
        <w:spacing w:after="120"/>
      </w:pPr>
      <w:r>
        <w:rPr>
          <w:i/>
          <w:sz w:val="20"/>
        </w:rPr>
        <w:t>Table 4. P(00)+P(11) with 95% Wilson CI (8192 shots).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L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Estimate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0.932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[0.927, 0.938]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0.918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[0.912, 0.923]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0.901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[0.894, 0.907]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0.892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[0.885, 0.898]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[0.908, 0.921]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0.884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[0.877, 0.891]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[0.859, 0.874]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0.838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[0.830, 0.846]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0.907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[0.900, 0.913]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[0.837, 0.852]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0.773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[0.764, 0.782]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0.719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[0.709, 0.729]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64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_simulation_with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6. Noisy crossover with 95% CI (static, zigzag, swapping).</w:t>
      </w:r>
    </w:p>
    <w:p>
      <w:pPr>
        <w:spacing w:after="120"/>
        <w:jc w:val="both"/>
      </w:pPr>
      <w:r>
        <w:rPr>
          <w:b w:val="0"/>
          <w:i w:val="0"/>
          <w:sz w:val="22"/>
        </w:rPr>
        <w:t>Primary comparison: static vs swapping on single-rail endpoints. Zigzag (two-rail) uses more qubits/CNOT but respects full ladder edges; included as topology reference, not primary claim.</w:t>
      </w:r>
    </w:p>
    <w:p>
      <w:pPr>
        <w:pStyle w:val="Heading2"/>
      </w:pPr>
      <w:r>
        <w:t>4.4 PRX circuit reproduction (quantitative)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Fig. 1(a) — LRCX dynamic / unitary / postprocessing. </w:t>
      </w:r>
      <w:r>
        <w:rPr>
          <w:rFonts w:ascii="Times New Roman" w:hAnsi="Times New Roman"/>
          <w:i/>
          <w:sz w:val="19"/>
        </w:rPr>
        <w:t>Table 5: minimum Bell fidelity over measurement branches (statevector simulation).</w:t>
      </w:r>
    </w:p>
    <w:p>
      <w:pPr>
        <w:spacing w:after="120"/>
      </w:pPr>
      <w:r>
        <w:rPr>
          <w:i/>
          <w:sz w:val="20"/>
        </w:rPr>
        <w:t>Table 5. LRCX Bell fidelity (statevector, min over measurement branches) — PRX Fig. 1(a).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5"/>
        <w:gridCol w:w="3245"/>
        <w:gridCol w:w="3245"/>
      </w:tblGrid>
      <w:tr>
        <w:tc>
          <w:tcPr>
            <w:tcW w:type="dxa" w:w="3245"/>
          </w:tcPr>
          <w:p>
            <w:r>
              <w:rPr>
                <w:b/>
                <w:sz w:val="18"/>
              </w:rPr>
              <w:t>Ancilla n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Dynamic min F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Unitary SWAP F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Fig. 2(b) — unitary vs dynamic GHZ preparation. </w:t>
      </w:r>
      <w:r>
        <w:rPr>
          <w:rFonts w:ascii="Times New Roman" w:hAnsi="Times New Roman"/>
          <w:i/>
          <w:sz w:val="19"/>
        </w:rPr>
        <w:t>Table 6: GHZ stabilizer fidelity from rebuilt circuits.</w:t>
      </w:r>
    </w:p>
    <w:p>
      <w:pPr>
        <w:spacing w:after="120"/>
      </w:pPr>
      <w:r>
        <w:rPr>
          <w:i/>
          <w:sz w:val="20"/>
        </w:rPr>
        <w:t>Table 6. GHZ preparation fidelity — PRX Fig. 2(b).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5"/>
        <w:gridCol w:w="3245"/>
        <w:gridCol w:w="3245"/>
      </w:tblGrid>
      <w:tr>
        <w:tc>
          <w:tcPr>
            <w:tcW w:type="dxa" w:w="3245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Dynamic F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Unitary F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pStyle w:val="Heading2"/>
      </w:pPr>
      <w:r>
        <w:t>4.5 Error-budget analysis (PRX Appendix B.2)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Appendix B.2 — λ_tot = t_idle λ_idle + N_CNOT λ_CNOT + N_meas λ_meas. </w:t>
      </w:r>
      <w:r>
        <w:rPr>
          <w:rFonts w:ascii="Times New Roman" w:hAnsi="Times New Roman"/>
          <w:i/>
          <w:sz w:val="19"/>
        </w:rPr>
        <w:t>We apply the paper's μ≈3.65, λ_idle=0.03, λ_CNOT=0.02, λ_meas=0.03 separately to Bell prep and LRCX tasks. These bounds use paper calibration — not our Aer model. Qualitative trend mapping only.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bell_pr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7. Error budget: Bell-state preparation tasks (Appendix B.2 mapping).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lrc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8. Error budget: long-range CNOT teleportation (Appendix B.2 mapping).</w:t>
      </w:r>
    </w:p>
    <w:p>
      <w:pPr>
        <w:pStyle w:val="Heading2"/>
      </w:pPr>
      <w:r>
        <w:t>4.6 Representative circuits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Fig. 2(b) left — unitary GHZ chain. </w:t>
      </w:r>
      <w:r>
        <w:rPr>
          <w:rFonts w:ascii="Times New Roman" w:hAnsi="Times New Roman"/>
          <w:i/>
          <w:sz w:val="19"/>
        </w:rPr>
        <w:t>Strategy A static chain at L=5.</w:t>
      </w:r>
    </w:p>
    <w:p>
      <w:r>
        <w:drawing>
          <wp:inline xmlns:a="http://schemas.openxmlformats.org/drawingml/2006/main" xmlns:pic="http://schemas.openxmlformats.org/drawingml/2006/picture">
            <wp:extent cx="5760720" cy="37279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tatic_L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9. Static chain (L=5).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mechanism (imitation) — Fig. 1(a) — Bell meas. + feed-forward. </w:t>
      </w:r>
      <w:r>
        <w:rPr>
          <w:rFonts w:ascii="Times New Roman" w:hAnsi="Times New Roman"/>
          <w:i/>
          <w:sz w:val="19"/>
        </w:rPr>
        <w:t>Strategy B swapping at L=3.</w:t>
      </w:r>
    </w:p>
    <w:p>
      <w:r>
        <w:drawing>
          <wp:inline xmlns:a="http://schemas.openxmlformats.org/drawingml/2006/main" xmlns:pic="http://schemas.openxmlformats.org/drawingml/2006/picture">
            <wp:extent cx="5760720" cy="33061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wapping_L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10. Entanglement swapping (L=3).</w:t>
      </w:r>
    </w:p>
    <w:p>
      <w:r>
        <w:rPr>
          <w:b/>
          <w:sz w:val="20"/>
        </w:rPr>
        <w:t>Listing 2. Full reproduction.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git clone https://github.com/real-louis/Dynamic-Circuit-Strategies-for-Long-Range-Entanglement-under-Local-Connectivity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Dynamic-Circuit-Strategies-for-Long-Range-Entanglement-under-Local-Connectivity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pip install -r requirements.txt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scripts/reproduce.py</w:t>
      </w:r>
    </w:p>
    <w:p/>
    <w:p>
      <w:pPr>
        <w:pStyle w:val="Heading1"/>
      </w:pPr>
      <w:r>
        <w:t>5. Discussion and limitations</w:t>
      </w:r>
    </w:p>
    <w:p>
      <w:pPr>
        <w:pStyle w:val="ListNumber"/>
      </w:pPr>
      <w:r>
        <w:t>Ephys ladder Bell preparation is our original competition scope; PRX sections are reproduced or mapped as in Table 1.</w:t>
      </w:r>
    </w:p>
    <w:p>
      <w:pPr>
        <w:pStyle w:val="ListNumber"/>
      </w:pPr>
      <w:r>
        <w:t>Simulation uses Qiskit Aer; PRX Quantum reports 101-qubit IBM hardware — do not equate absolute fidelities.</w:t>
      </w:r>
    </w:p>
    <w:p>
      <w:pPr>
        <w:pStyle w:val="ListNumber"/>
      </w:pPr>
      <w:r>
        <w:t>Error-budget curves (Appendix B.2) and P(00)+P(11) (Aer) use different calibrations — compare trends only.</w:t>
      </w:r>
    </w:p>
    <w:p>
      <w:pPr>
        <w:pStyle w:val="ListNumber"/>
      </w:pPr>
      <w:r>
        <w:t>Bell-state preparation ≠ LRCX gate teleportation; related via Bell measurement but distinct tasks.</w:t>
      </w:r>
    </w:p>
    <w:p>
      <w:pPr>
        <w:pStyle w:val="ListNumber"/>
      </w:pPr>
      <w:r>
        <w:t>Classical decode approximates feed-forward for fair noisy Ephys comparison.</w:t>
      </w:r>
    </w:p>
    <w:p>
      <w:pPr>
        <w:pStyle w:val="Heading1"/>
      </w:pPr>
      <w:r>
        <w:t>6. Conclusion</w:t>
      </w:r>
    </w:p>
    <w:p>
      <w:pPr>
        <w:spacing w:after="120"/>
        <w:jc w:val="both"/>
      </w:pPr>
      <w:r>
        <w:rPr>
          <w:b w:val="0"/>
          <w:i w:val="0"/>
          <w:sz w:val="22"/>
        </w:rPr>
        <w:t>We deliver a competition-format ladder Bell report extended with an explicit PRX Quantum 5.030339 map: circuits in Fig. 1(a) and Fig. 2(b) are reproduced with pytest; Appendix B.2 error budgets and Section III crossover phenomena are mapped qualitatively to our Ephys simulations.</w:t>
      </w:r>
    </w:p>
    <w:p>
      <w:pPr>
        <w:pStyle w:val="Heading1"/>
      </w:pPr>
      <w:r>
        <w:t>Acknowledgments</w:t>
      </w:r>
    </w:p>
    <w:p>
      <w:pPr>
        <w:spacing w:after="120"/>
        <w:jc w:val="both"/>
      </w:pPr>
      <w:r>
        <w:rPr>
          <w:b w:val="0"/>
          <w:i w:val="0"/>
          <w:sz w:val="22"/>
        </w:rPr>
        <w:t>I thank Prof. Hsiu-Chuan Hsu for guidance on this project and the Ephys Challenge 2026 organizers.</w:t>
      </w:r>
    </w:p>
    <w:p>
      <w:pPr>
        <w:pStyle w:val="Heading1"/>
      </w:pPr>
      <w:r>
        <w:t>7. Data and code availability</w:t>
      </w:r>
    </w:p>
    <w:p>
      <w:pPr>
        <w:spacing w:after="120"/>
        <w:jc w:val="both"/>
      </w:pPr>
      <w:r>
        <w:rPr>
          <w:b w:val="0"/>
          <w:i w:val="0"/>
          <w:sz w:val="22"/>
        </w:rPr>
        <w:t>Source code and CSV artifacts:</w:t>
      </w:r>
    </w:p>
    <w:p>
      <w:hyperlink r:id="rId19">
        <w:r>
          <w:rPr>
            <w:color w:val="0563C1"/>
            <w:u w:val="single"/>
          </w:rPr>
          <w:t>https://github.com/real-louis/Dynamic-Circuit-Strategies-for-Long-Range-Entanglement-under-Local-Connectivity</w:t>
        </w:r>
      </w:hyperlink>
    </w:p>
    <w:p>
      <w:pPr>
        <w:spacing w:after="120"/>
        <w:jc w:val="both"/>
      </w:pPr>
      <w:r>
        <w:rPr>
          <w:b w:val="0"/>
          <w:i w:val="0"/>
          <w:sz w:val="22"/>
        </w:rPr>
        <w:t>Reproduction reference commit: 8e433b6</w:t>
      </w:r>
    </w:p>
    <w:p>
      <w:pPr>
        <w:spacing w:after="120"/>
        <w:jc w:val="both"/>
      </w:pPr>
      <w:r>
        <w:rPr>
          <w:b w:val="0"/>
          <w:i/>
          <w:sz w:val="22"/>
        </w:rPr>
        <w:t>Contact: louse2121@gmail.com</w:t>
      </w:r>
    </w:p>
    <w:p>
      <w:pPr>
        <w:pStyle w:val="Heading1"/>
      </w:pPr>
      <w:r>
        <w:t>References</w:t>
      </w:r>
    </w:p>
    <w:p>
      <w:r>
        <w:t>[1] E. Bäumer et al., Efficient Long-Range Entanglement Using Dynamic Circuits, PRX Quantum 5, 030339 (2024). https://doi.org/10.1103/PRXQuantum.5.030339</w:t>
      </w:r>
    </w:p>
    <w:p>
      <w:r>
        <w:t>[2] IBM Quantum, Long-range entanglement with dynamic circuits. https://docs.quantum.ibm.com/</w:t>
      </w:r>
    </w:p>
    <w:p>
      <w:r>
        <w:t>[3] Ephys Challenge 2026, National Chengchi University.</w:t>
      </w:r>
    </w:p>
    <w:p>
      <w:r>
        <w:t>[4] M. A. Nielsen and I. L. Chuang, Quantum Computation and Quantum Information, Cambridge University Press.</w:t>
      </w:r>
    </w:p>
    <w:p>
      <w:r>
        <w:br w:type="page"/>
      </w:r>
    </w:p>
    <w:p>
      <w:pPr>
        <w:pStyle w:val="Heading1"/>
      </w:pPr>
      <w:r>
        <w:t>Appendix A. Figure index</w:t>
      </w:r>
    </w:p>
    <w:p>
      <w:pPr>
        <w:spacing w:after="120"/>
      </w:pPr>
      <w:r>
        <w:rPr>
          <w:i/>
          <w:sz w:val="20"/>
        </w:rPr>
        <w:t>Table A1.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Fig.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Script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PRX link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1–3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figure_topology_*.png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scripts/generate_word_reports.py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— (Ephys topology)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resources_cx_vs_L.png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ephys/competition_suite.py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Fig. 2(c) analogy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figure_chsh_comparison.png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scripts/report_figures.py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crossover_simulation_with_ci.png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scripts/report_figures.py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Sec. III analogy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7–8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error_budget_*.png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scripts/error_budget_analysis.py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App. B.2 reproduce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9–10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figure_circuit_*.png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ephys/src/challenge_common.py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Fig. 2(b) / Fig. 1(a)</w:t>
            </w:r>
          </w:p>
        </w:tc>
      </w:tr>
    </w:tbl>
    <w:p/>
    <w:sectPr w:rsidR="00FC693F" w:rsidRPr="0006063C" w:rsidSect="00034616">
      <w:pgSz w:w="12240" w:h="15840"/>
      <w:pgMar w:top="1440" w:right="1253" w:bottom="1440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github.com/real-louis/Dynamic-Circuit-Strategies-for-Long-Range-Entanglement-under-Local-Connecti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