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局域連接下長程糾纏的動態電路策略</w:t>
      </w:r>
    </w:p>
    <w:p>
      <w:pPr>
        <w:jc w:val="center"/>
      </w:pPr>
      <w:r>
        <w:rPr>
          <w:i/>
          <w:sz w:val="24"/>
        </w:rPr>
        <w:t>從 Ephys Challenge 2026 到 PRX Quantum 5.030339</w:t>
      </w:r>
    </w:p>
    <w:p>
      <w:pPr>
        <w:jc w:val="center"/>
      </w:pPr>
      <w:r>
        <w:rPr>
          <w:sz w:val="22"/>
        </w:rPr>
        <w:t>何建毅</w:t>
        <w:br/>
        <w:t>許琇娟 教授</w:t>
        <w:br/>
        <w:t>國立政治大學 應用物理學系／電子物理學程</w:t>
        <w:br/>
        <w:t>June 2026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spacing w:after="120"/>
        <w:jc w:val="both"/>
      </w:pPr>
      <w:r>
        <w:rPr>
          <w:b w:val="0"/>
          <w:i w:val="0"/>
          <w:sz w:val="22"/>
        </w:rPr>
        <w:t>本報告研究梯子拓樸局域連接下的長程 Bell 態製備（Ephys Challenge 2026）。比較策略甲（靜態 GHZ，2L−1 CNOT）與策略乙（糾纏交換，L CNOT），共用 Aer 雜訊模型（8192 shots）。含 CHSH 理想驗證、P(00)+P(11) 與 95% Wilson 信賴區間、PRX 5.030339 電路 reproduce（35 pytest）。error budget 分 Bell 製備與 LRCX 兩任務呈現，僅作定性對照，非與模擬定量等同。</w:t>
      </w:r>
    </w:p>
    <w:p>
      <w:pPr>
        <w:spacing w:after="120"/>
        <w:jc w:val="both"/>
      </w:pPr>
      <w:r>
        <w:rPr>
          <w:b w:val="0"/>
          <w:i/>
          <w:sz w:val="22"/>
        </w:rPr>
        <w:t>關鍵詞：動態量子電路、長程糾纏、糾纏交換、NISQ</w:t>
      </w:r>
    </w:p>
    <w:p>
      <w:pPr>
        <w:pStyle w:val="Heading1"/>
      </w:pPr>
      <w:r>
        <w:t>1. 引言</w:t>
      </w:r>
    </w:p>
    <w:p>
      <w:pPr>
        <w:spacing w:after="120"/>
        <w:jc w:val="both"/>
      </w:pPr>
      <w:r>
        <w:rPr>
          <w:b w:val="0"/>
          <w:i w:val="0"/>
          <w:sz w:val="22"/>
        </w:rPr>
        <w:t>超導處理器僅允許鄰接雙位元閘。動態電路以 measurement + feed-forward 達常數深度路由。問題：梯子拓樸下，靜態與測量輔助 Bell 製備如何權衡 CNOT 與含噪保真度？</w:t>
      </w:r>
    </w:p>
    <w:p>
      <w:pPr>
        <w:pStyle w:val="Heading1"/>
      </w:pPr>
      <w:r>
        <w:t>2. 問題形式化</w:t>
      </w:r>
    </w:p>
    <w:p>
      <w:pPr>
        <w:pStyle w:val="ListBullet"/>
      </w:pPr>
      <w:r>
        <w:t>單腳抽象：e0↔q0、e1↔qL，L 段，N=L+1。</w:t>
      </w:r>
    </w:p>
    <w:p>
      <w:pPr>
        <w:pStyle w:val="ListBullet"/>
      </w:pPr>
      <w:r>
        <w:t>雙腳之字形用 2(L+1) 量子位元（對照策略）。</w:t>
      </w:r>
    </w:p>
    <w:p>
      <w:pPr>
        <w:pStyle w:val="ListBullet"/>
      </w:pPr>
      <w:r>
        <w:t>目標 |Φ+⟩；指標：CHSH、P(00)+P(11)、CNOT。</w:t>
      </w:r>
    </w:p>
    <w:p>
      <w:pPr>
        <w:pStyle w:val="Heading1"/>
      </w:pPr>
      <w:r>
        <w:t>3. 方法</w:t>
      </w:r>
    </w:p>
    <w:p>
      <w:pPr>
        <w:pStyle w:val="Heading2"/>
      </w:pPr>
      <w:r>
        <w:t>3.1 策略甲、乙</w:t>
      </w:r>
    </w:p>
    <w:p>
      <w:pPr>
        <w:spacing w:after="120"/>
        <w:jc w:val="both"/>
      </w:pPr>
      <w:r>
        <w:rPr>
          <w:b w:val="0"/>
          <w:i w:val="0"/>
          <w:sz w:val="22"/>
        </w:rPr>
        <w:t>策略甲：H + 正/反向 CX（2L−1）。策略乙：|Φ+⟩ 對 + Bell 測量 + 前饋（L CNOT，L 奇）。含噪以古典解碼等價前饋。</w:t>
      </w:r>
    </w:p>
    <w:p>
      <w:pPr>
        <w:pStyle w:val="Heading2"/>
      </w:pPr>
      <w:r>
        <w:t>3.2 公平雜訊模型</w:t>
      </w:r>
    </w:p>
    <w:p>
      <w:pPr>
        <w:spacing w:after="120"/>
      </w:pPr>
      <w:r>
        <w:rPr>
          <w:i/>
          <w:sz w:val="20"/>
        </w:rPr>
        <w:t>表 1. Aer 雜訊參數。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p(1q), p(2q)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0.001, 0.01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Depolarizing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p_readout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Readout flip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T1, T2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 μs, 80 μs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Thermal relaxation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Classical latency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2500 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Endpoint wait (swapping)</w:t>
            </w:r>
          </w:p>
        </w:tc>
      </w:tr>
    </w:tbl>
    <w:p/>
    <w:p>
      <w:pPr>
        <w:pStyle w:val="Heading2"/>
      </w:pPr>
      <w:r>
        <w:t>3.3 PRX reproduce</w:t>
      </w:r>
    </w:p>
    <w:p>
      <w:r>
        <w:rPr>
          <w:b/>
          <w:sz w:val="20"/>
        </w:rPr>
        <w:t>程式 1. PRX 等價性測試。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cd prx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python3 -m pytest verify/test_equivalence.py -q  # 35 passed</w:t>
      </w:r>
    </w:p>
    <w:p/>
    <w:p>
      <w:pPr>
        <w:pStyle w:val="Heading1"/>
      </w:pPr>
      <w:r>
        <w:t>4. 結果</w:t>
      </w:r>
    </w:p>
    <w:p>
      <w:pPr>
        <w:pStyle w:val="Heading2"/>
      </w:pPr>
      <w:r>
        <w:t>4.1 資源</w:t>
      </w:r>
    </w:p>
    <w:p>
      <w:r>
        <w:drawing>
          <wp:inline xmlns:a="http://schemas.openxmlformats.org/drawingml/2006/main" xmlns:pic="http://schemas.openxmlformats.org/drawingml/2006/picture">
            <wp:extent cx="5486400" cy="2880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ources_cx_vs_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圖 1. 理想 CNOT vs L。</w:t>
      </w:r>
    </w:p>
    <w:p>
      <w:pPr>
        <w:spacing w:after="120"/>
      </w:pPr>
      <w:r>
        <w:rPr>
          <w:i/>
          <w:sz w:val="20"/>
        </w:rPr>
        <w:t>表 2. L=5 資源（CSV 自動讀取）。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CNOT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Depth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Mid-circuit meas.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 GHZ (single-rail)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Entanglement swapping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Two-rail zigzag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</w:tbl>
    <w:p/>
    <w:p>
      <w:pPr>
        <w:pStyle w:val="Heading2"/>
      </w:pPr>
      <w:r>
        <w:t>4.2 CHSH 驗證</w:t>
      </w:r>
    </w:p>
    <w:p>
      <w:r>
        <w:drawing>
          <wp:inline xmlns:a="http://schemas.openxmlformats.org/drawingml/2006/main" xmlns:pic="http://schemas.openxmlformats.org/drawingml/2006/picture">
            <wp:extent cx="5486400" cy="47177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hsh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17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圖 2. CHSH：理想 vs 含噪。</w:t>
      </w:r>
    </w:p>
    <w:p>
      <w:pPr>
        <w:pStyle w:val="Heading2"/>
      </w:pPr>
      <w:r>
        <w:t>4.3 含噪 Bell 診斷</w:t>
      </w:r>
    </w:p>
    <w:p>
      <w:pPr>
        <w:spacing w:after="120"/>
      </w:pPr>
      <w:r>
        <w:rPr>
          <w:i/>
          <w:sz w:val="20"/>
        </w:rPr>
        <w:t>表 3. P(00)+P(11) 與 95% CI（8192 shots）。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Strategy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Estimate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95% CI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[0.927, 0.938]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[0.912, 0.923]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[0.894, 0.907]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[0.885, 0.898]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Zigzag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[0.908, 0.921]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Zigzag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[0.877, 0.891]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Zigzag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[0.859, 0.874]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Zigzag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[0.830, 0.846]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0.907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[0.900, 0.913]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0.845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[0.837, 0.852]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[0.764, 0.782]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Swapping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0.719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[0.709, 0.729]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3266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over_simulation_with_c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6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圖 3. 含噪 crossover（含 95% CI）。</w:t>
      </w:r>
    </w:p>
    <w:p>
      <w:pPr>
        <w:spacing w:after="120"/>
        <w:jc w:val="both"/>
      </w:pPr>
      <w:r>
        <w:rPr>
          <w:b w:val="0"/>
          <w:i w:val="0"/>
          <w:sz w:val="22"/>
        </w:rPr>
        <w:t>主比較為單腳 static vs swapping；之字形為雙腳梯子對照，非主要結論。</w:t>
      </w:r>
    </w:p>
    <w:p>
      <w:pPr>
        <w:pStyle w:val="Heading2"/>
      </w:pPr>
      <w:r>
        <w:t>4.4 PRX 定量驗證</w:t>
      </w:r>
    </w:p>
    <w:p>
      <w:pPr>
        <w:spacing w:after="120"/>
      </w:pPr>
      <w:r>
        <w:rPr>
          <w:i/>
          <w:sz w:val="20"/>
        </w:rPr>
        <w:t>表 4. LRCX Bell fidelity。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Ancilla 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Dynamic min F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Unitary SWAP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&gt;0.999999000 (unitary ref)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&gt;0.999999000 (unitary ref)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</w:tbl>
    <w:p/>
    <w:p>
      <w:pPr>
        <w:spacing w:after="120"/>
      </w:pPr>
      <w:r>
        <w:rPr>
          <w:i/>
          <w:sz w:val="20"/>
        </w:rPr>
        <w:t>表 5. GHZ fidelity。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n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Dynamic F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Unitary 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1.000000000</w:t>
            </w:r>
          </w:p>
        </w:tc>
      </w:tr>
    </w:tbl>
    <w:p/>
    <w:p>
      <w:pPr>
        <w:pStyle w:val="Heading2"/>
      </w:pPr>
      <w:r>
        <w:t>4.5 Error budget（定性）</w:t>
      </w:r>
    </w:p>
    <w:p>
      <w:pPr>
        <w:spacing w:after="120"/>
        <w:jc w:val="both"/>
      </w:pPr>
      <w:r>
        <w:rPr>
          <w:b w:val="0"/>
          <w:i w:val="0"/>
          <w:sz w:val="22"/>
        </w:rPr>
        <w:t>依論文 Appendix B.2 參數計算 F_proc ≥ exp(−λ_tot)；與 Aer 參數不同，僅定性對照；分任務繪圖。</w:t>
      </w:r>
    </w:p>
    <w:p>
      <w:r>
        <w:drawing>
          <wp:inline xmlns:a="http://schemas.openxmlformats.org/drawingml/2006/main" xmlns:pic="http://schemas.openxmlformats.org/drawingml/2006/picture">
            <wp:extent cx="5486400" cy="3073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udget_bell_pr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圖 4. Error budget：Bell 製備。</w:t>
      </w:r>
    </w:p>
    <w:p>
      <w:r>
        <w:drawing>
          <wp:inline xmlns:a="http://schemas.openxmlformats.org/drawingml/2006/main" xmlns:pic="http://schemas.openxmlformats.org/drawingml/2006/picture">
            <wp:extent cx="5486400" cy="30735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budget_lrc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圖 5. Error budget：LRCX。</w:t>
      </w:r>
    </w:p>
    <w:p>
      <w:pPr>
        <w:pStyle w:val="Heading2"/>
      </w:pPr>
      <w:r>
        <w:t>4.6 代表性電路</w:t>
      </w:r>
    </w:p>
    <w:p>
      <w:r>
        <w:drawing>
          <wp:inline xmlns:a="http://schemas.openxmlformats.org/drawingml/2006/main" xmlns:pic="http://schemas.openxmlformats.org/drawingml/2006/picture">
            <wp:extent cx="5760720" cy="372791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ircuit_static_L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79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圖 6. 靜態鏈 L=5。</w:t>
      </w:r>
    </w:p>
    <w:p>
      <w:r>
        <w:drawing>
          <wp:inline xmlns:a="http://schemas.openxmlformats.org/drawingml/2006/main" xmlns:pic="http://schemas.openxmlformats.org/drawingml/2006/picture">
            <wp:extent cx="5760720" cy="3306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circuit_swapping_L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06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sz w:val="20"/>
        </w:rPr>
        <w:t>圖 7. 交換 L=3。</w:t>
      </w:r>
    </w:p>
    <w:p>
      <w:r>
        <w:rPr>
          <w:b/>
          <w:sz w:val="20"/>
        </w:rPr>
        <w:t>程式 2. 重現。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git clone https://github.com/real-louis/Dynamic-Circuit-Strategies-for-Long-Range-Entanglement-under-Local-Connectivity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cd Dynamic-Circuit-Strategies-for-Long-Range-Entanglement-under-Local-Connectivity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pip install -r requirements.txt</w:t>
      </w:r>
    </w:p>
    <w:p>
      <w:pPr>
        <w:spacing w:after="20"/>
        <w:ind w:left="317"/>
      </w:pPr>
      <w:r>
        <w:rPr>
          <w:rFonts w:ascii="Courier New" w:hAnsi="Courier New"/>
          <w:sz w:val="17"/>
        </w:rPr>
        <w:t>python3 scripts/build_graduate_package.py</w:t>
      </w:r>
    </w:p>
    <w:p/>
    <w:p>
      <w:pPr>
        <w:pStyle w:val="Heading1"/>
      </w:pPr>
      <w:r>
        <w:t>5. 討論與限制</w:t>
      </w:r>
    </w:p>
    <w:p>
      <w:pPr>
        <w:pStyle w:val="ListNumber"/>
      </w:pPr>
      <w:r>
        <w:t>模擬為 Aer；論文為 IBM 實機。</w:t>
      </w:r>
    </w:p>
    <w:p>
      <w:pPr>
        <w:pStyle w:val="ListNumber"/>
      </w:pPr>
      <w:r>
        <w:t>error budget 與 P(00)+P(11) 雜訊標定不同，僅比趨勢。</w:t>
      </w:r>
    </w:p>
    <w:p>
      <w:pPr>
        <w:pStyle w:val="ListNumber"/>
      </w:pPr>
      <w:r>
        <w:t>Bell 製備 ≠ gate teleportation。</w:t>
      </w:r>
    </w:p>
    <w:p>
      <w:pPr>
        <w:pStyle w:val="ListNumber"/>
      </w:pPr>
      <w:r>
        <w:t>含噪以古典解碼近似前饋。</w:t>
      </w:r>
    </w:p>
    <w:p>
      <w:pPr>
        <w:pStyle w:val="Heading1"/>
      </w:pPr>
      <w:r>
        <w:t>6. 結論</w:t>
      </w:r>
    </w:p>
    <w:p>
      <w:pPr>
        <w:spacing w:after="120"/>
        <w:jc w:val="both"/>
      </w:pPr>
      <w:r>
        <w:rPr>
          <w:b w:val="0"/>
          <w:i w:val="0"/>
          <w:sz w:val="22"/>
        </w:rPr>
        <w:t>完成可重現 Bell 製備、PRX 定量 reproduce，以及分離模擬與 error budget 的 crossover 分析。</w:t>
      </w:r>
    </w:p>
    <w:p>
      <w:pPr>
        <w:pStyle w:val="Heading1"/>
      </w:pPr>
      <w:r>
        <w:t>7. 程式可用性</w:t>
      </w:r>
    </w:p>
    <w:p>
      <w:pPr>
        <w:spacing w:after="120"/>
        <w:jc w:val="both"/>
      </w:pPr>
      <w:r>
        <w:rPr>
          <w:b w:val="0"/>
          <w:i w:val="0"/>
          <w:sz w:val="22"/>
        </w:rPr>
        <w:t>原始碼與 CSV：</w:t>
      </w:r>
    </w:p>
    <w:p>
      <w:hyperlink r:id="rId16">
        <w:r>
          <w:rPr>
            <w:color w:val="0563C1"/>
            <w:u w:val="single"/>
          </w:rPr>
          <w:t>https://github.com/real-louis/Dynamic-Circuit-Strategies-for-Long-Range-Entanglement-under-Local-Connectivity</w:t>
        </w:r>
      </w:hyperlink>
    </w:p>
    <w:p>
      <w:pPr>
        <w:spacing w:after="120"/>
        <w:jc w:val="both"/>
      </w:pPr>
      <w:r>
        <w:rPr>
          <w:b w:val="0"/>
          <w:i w:val="0"/>
          <w:sz w:val="22"/>
        </w:rPr>
        <w:t>Reproduction reference commit: c8c1e25</w:t>
      </w:r>
    </w:p>
    <w:p>
      <w:pPr>
        <w:spacing w:after="120"/>
        <w:jc w:val="both"/>
      </w:pPr>
      <w:r>
        <w:rPr>
          <w:b w:val="0"/>
          <w:i/>
          <w:sz w:val="22"/>
        </w:rPr>
        <w:t>Contact: louse2121@gmail.com</w:t>
      </w:r>
    </w:p>
    <w:p>
      <w:pPr>
        <w:pStyle w:val="Heading1"/>
      </w:pPr>
      <w:r>
        <w:t>參考文獻</w:t>
      </w:r>
    </w:p>
    <w:p>
      <w:r>
        <w:t>[1] E. Bäumer et al., PRX Quantum 5, 030339 (2024). https://doi.org/10.1103/PRXQuantum.5.030339</w:t>
      </w:r>
    </w:p>
    <w:p>
      <w:r>
        <w:t>[2] IBM Quantum, Long-range entanglement with dynamic circuits. https://docs.quantum.ibm.com/</w:t>
      </w:r>
    </w:p>
    <w:p>
      <w:r>
        <w:t>[3] Ephys Challenge 2026, National Chengchi University.</w:t>
      </w:r>
    </w:p>
    <w:p>
      <w:r>
        <w:br w:type="page"/>
      </w:r>
    </w:p>
    <w:p>
      <w:pPr>
        <w:pStyle w:val="Heading1"/>
      </w:pPr>
      <w:r>
        <w:t>附錄 A. 圖表索引</w:t>
      </w:r>
    </w:p>
    <w:p>
      <w:pPr>
        <w:spacing w:after="120"/>
      </w:pPr>
      <w:r>
        <w:rPr>
          <w:i/>
          <w:sz w:val="20"/>
        </w:rPr>
        <w:t>表 A1.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Fig.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Script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resources_cx_vs_L.png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ephys/competition_suite.py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figure_chsh_comparison.png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scripts/report_figures.py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crossover_simulation_with_ci.png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scripts/report_figures.py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4–5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error_budget_*.png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scripts/error_budget_analysis.py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6–7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figure_circuit_*.png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ephys/src/challenge_common.py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hyperlink" Target="https://github.com/real-louis/Dynamic-Circuit-Strategies-for-Long-Range-Entanglement-under-Local-Connectiv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