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Dynamic Circuit Strategies for Long-Range Entanglement under Local Connectivity</w:t>
      </w:r>
    </w:p>
    <w:p>
      <w:pPr>
        <w:jc w:val="center"/>
      </w:pPr>
      <w:r>
        <w:rPr>
          <w:i/>
          <w:sz w:val="24"/>
        </w:rPr>
        <w:t>From Ephys Challenge 2026 to PRX Quantum 5.030339</w:t>
      </w:r>
    </w:p>
    <w:p>
      <w:pPr>
        <w:jc w:val="center"/>
      </w:pPr>
      <w:r>
        <w:rPr>
          <w:sz w:val="22"/>
        </w:rPr>
        <w:t>Jian-Yi He</w:t>
        <w:br/>
        <w:t>Prof. Hsiu-Chuan Hsu</w:t>
        <w:br/>
        <w:t>Department of Applied Physics / Electronic Physics Program, National Chengchi University</w:t>
        <w:br/>
        <w:t>June 2026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after="120"/>
        <w:jc w:val="both"/>
      </w:pPr>
      <w:r>
        <w:rPr>
          <w:b w:val="0"/>
          <w:i w:val="0"/>
          <w:sz w:val="22"/>
        </w:rPr>
        <w:t>We study long-range Bell-state preparation on a ladder topology under nearest-neighbor gates, motivated by Ephys Challenge 2026. Strategy A (static GHZ chain, 2L−1 CNOTs) is compared with Strategy B (entanglement swapping, L CNOTs, odd L) under one shared Qiskit Aer noise model (8192 shots). We report resource formulas, ideal CHSH verification (2√2), endpoint diagnostic P(00)+P(11) with 95% Wilson confidence intervals, and a noisy crossover curve. We independently reproduce Fig. 1a/2b circuits from PRX Quantum 5, 030339 (35 pytest checks). A paper error-budget analysis (Appendix B.2) is applied separately to Bell preparation and long-range CNOT tasks; we emphasize qualitative trend mapping—not calibrated equality with simulation.</w:t>
      </w:r>
    </w:p>
    <w:p>
      <w:pPr>
        <w:spacing w:after="120"/>
        <w:jc w:val="both"/>
      </w:pPr>
      <w:r>
        <w:rPr>
          <w:b w:val="0"/>
          <w:i/>
          <w:sz w:val="22"/>
        </w:rPr>
        <w:t>Keywords: dynamic quantum circuits, long-range entanglement, entanglement swapping, NISQ</w:t>
      </w:r>
    </w:p>
    <w:p>
      <w:pPr>
        <w:pStyle w:val="Heading2"/>
      </w:pPr>
      <w:r>
        <w:t>Author contributions</w:t>
      </w:r>
    </w:p>
    <w:p>
      <w:pPr>
        <w:pStyle w:val="ListBullet"/>
      </w:pPr>
      <w:r>
        <w:t>Implemented and verified Ephys competition circuits with closed-form CX counts.</w:t>
      </w:r>
    </w:p>
    <w:p>
      <w:pPr>
        <w:pStyle w:val="ListBullet"/>
      </w:pPr>
      <w:r>
        <w:t>Reproduced PRX Quantum 5.030339 LRCX/GHZ circuits with automated pytest equivalence.</w:t>
      </w:r>
    </w:p>
    <w:p>
      <w:pPr>
        <w:pStyle w:val="ListBullet"/>
      </w:pPr>
      <w:r>
        <w:t>Unified qualitative crossover discussion via separate error-budget and simulation panels.</w:t>
      </w:r>
    </w:p>
    <w:p>
      <w:pPr>
        <w:pStyle w:val="Heading1"/>
      </w:pPr>
      <w:r>
        <w:t>1. Introduction</w:t>
      </w:r>
    </w:p>
    <w:p>
      <w:pPr>
        <w:spacing w:after="120"/>
        <w:jc w:val="both"/>
      </w:pPr>
      <w:r>
        <w:rPr>
          <w:b w:val="0"/>
          <w:i w:val="0"/>
          <w:sz w:val="22"/>
        </w:rPr>
        <w:t>Superconducting processors restrict two-qubit gates to nearest neighbors. Dynamic circuits use mid-circuit measurement and feed-forward for effectively constant-depth routing [Bäumer et al., PRX Quantum 5, 030339 (2024)]. We ask: under ladder topology, how do static versus measurement-based Bell preparation trade CX resources against noisy fidelity?</w:t>
      </w:r>
    </w:p>
    <w:p>
      <w:pPr>
        <w:pStyle w:val="Heading1"/>
      </w:pPr>
      <w:r>
        <w:t>2. Problem formulation</w:t>
      </w:r>
    </w:p>
    <w:p>
      <w:pPr>
        <w:pStyle w:val="ListBullet"/>
      </w:pPr>
      <w:r>
        <w:t>Single-rail abstraction: e0↔q0, e1↔qL, L segments, N=L+1 qubits.</w:t>
      </w:r>
    </w:p>
    <w:p>
      <w:pPr>
        <w:pStyle w:val="ListBullet"/>
      </w:pPr>
      <w:r>
        <w:t>Two-rail zigzag uses 2(L+1) qubits on full ladder edges (comparison only).</w:t>
      </w:r>
    </w:p>
    <w:p>
      <w:pPr>
        <w:pStyle w:val="ListBullet"/>
      </w:pPr>
      <w:r>
        <w:t>Target |Φ+⟩; metrics: CHSH, P(00)+P(11), CNOT count.</w:t>
      </w:r>
    </w:p>
    <w:p>
      <w:pPr>
        <w:pStyle w:val="Heading1"/>
      </w:pPr>
      <w:r>
        <w:t>3. Methods</w:t>
      </w:r>
    </w:p>
    <w:p>
      <w:pPr>
        <w:pStyle w:val="Heading2"/>
      </w:pPr>
      <w:r>
        <w:t>3.1 Strategies A and B</w:t>
      </w:r>
    </w:p>
    <w:p>
      <w:pPr>
        <w:spacing w:after="120"/>
        <w:jc w:val="both"/>
      </w:pPr>
      <w:r>
        <w:rPr>
          <w:b w:val="0"/>
          <w:i w:val="0"/>
          <w:sz w:val="22"/>
        </w:rPr>
        <w:t>Strategy A: H(e0) → forward CX → reverse CX (2L−1 CNOTs). Strategy B: adjacent |Φ+⟩ pairs, Bell measurement, X/Z feed-forward (L CNOTs, odd L). Noisy runs use classical post-decode when if_test is unstable in Aer.</w:t>
      </w:r>
    </w:p>
    <w:p>
      <w:pPr>
        <w:pStyle w:val="Heading2"/>
      </w:pPr>
      <w:r>
        <w:t>3.2 Fair noise model</w:t>
      </w:r>
    </w:p>
    <w:p>
      <w:pPr>
        <w:spacing w:after="120"/>
      </w:pPr>
      <w:r>
        <w:rPr>
          <w:i/>
          <w:sz w:val="20"/>
        </w:rPr>
        <w:t>Table 1. Shared Aer noise parameters.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p(1q), p(2q)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0.001, 0.01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Depolarizing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p_readout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Readout flip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T1, 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μs, 80 μs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Thermal relaxation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Classical 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2500 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wait (swapping)</w:t>
            </w:r>
          </w:p>
        </w:tc>
      </w:tr>
    </w:tbl>
    <w:p/>
    <w:p>
      <w:pPr>
        <w:pStyle w:val="Heading2"/>
      </w:pPr>
      <w:r>
        <w:t>3.3 PRX Quantum 5.030339 reproduction</w:t>
      </w:r>
    </w:p>
    <w:p>
      <w:r>
        <w:rPr>
          <w:b/>
          <w:sz w:val="20"/>
        </w:rPr>
        <w:t>Listing 1. PRX equivalence tests.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cd prx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python3 -m pytest verify/test_equivalence.py -q  # 35 passed</w:t>
      </w:r>
    </w:p>
    <w:p/>
    <w:p>
      <w:pPr>
        <w:pStyle w:val="Heading1"/>
      </w:pPr>
      <w:r>
        <w:t>4. Results</w:t>
      </w:r>
    </w:p>
    <w:p>
      <w:pPr>
        <w:pStyle w:val="Heading2"/>
      </w:pPr>
      <w:r>
        <w:t>4.1 Gate resources</w:t>
      </w:r>
    </w:p>
    <w:p>
      <w:r>
        <w:drawing>
          <wp:inline xmlns:a="http://schemas.openxmlformats.org/drawingml/2006/main" xmlns:pic="http://schemas.openxmlformats.org/drawingml/2006/picture">
            <wp:extent cx="548640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_cx_vs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1. Ideal CNOT count vs L.</w:t>
      </w:r>
    </w:p>
    <w:p>
      <w:pPr>
        <w:spacing w:after="120"/>
      </w:pPr>
      <w:r>
        <w:rPr>
          <w:i/>
          <w:sz w:val="20"/>
        </w:rPr>
        <w:t>Table 2. Resources at L=5 (from resource_formula_table.csv).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CNOT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Depth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Mid-circuit meas.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 GHZ (single-rail)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Entanglement 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Two-rail 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4.2 CHSH verification</w:t>
      </w:r>
    </w:p>
    <w:p>
      <w:r>
        <w:drawing>
          <wp:inline xmlns:a="http://schemas.openxmlformats.org/drawingml/2006/main" xmlns:pic="http://schemas.openxmlformats.org/drawingml/2006/picture">
            <wp:extent cx="5486400" cy="4717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hsh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2. CHSH correlator: ideal (flat at 2√2) vs noisy static/zigzag.</w:t>
      </w:r>
    </w:p>
    <w:p>
      <w:pPr>
        <w:pStyle w:val="Heading2"/>
      </w:pPr>
      <w:r>
        <w:t>4.3 Noisy Bell diagnostic</w:t>
      </w:r>
    </w:p>
    <w:p>
      <w:pPr>
        <w:spacing w:after="120"/>
      </w:pPr>
      <w:r>
        <w:rPr>
          <w:i/>
          <w:sz w:val="20"/>
        </w:rPr>
        <w:t>Table 3. P(00)+P(11) with 95% Wilson CI (8192 shots).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Estimate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[0.927, 0.938]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[0.912, 0.923]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[0.894, 0.907]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[0.885, 0.898]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[0.908, 0.921]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[0.877, 0.891]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[0.859, 0.874]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[0.830, 0.846]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[0.900, 0.913]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[0.837, 0.852]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[0.764, 0.782]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[0.709, 0.729]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66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over_simulation_with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3. Noisy crossover with 95% CI (static, zigzag, swapping).</w:t>
      </w:r>
    </w:p>
    <w:p>
      <w:pPr>
        <w:spacing w:after="120"/>
        <w:jc w:val="both"/>
      </w:pPr>
      <w:r>
        <w:rPr>
          <w:b w:val="0"/>
          <w:i w:val="0"/>
          <w:sz w:val="22"/>
        </w:rPr>
        <w:t>Primary comparison: static vs swapping on single-rail endpoints. Zigzag (two-rail) uses more qubits/CNOT but respects full ladder edges; included as topology reference, not primary claim.</w:t>
      </w:r>
    </w:p>
    <w:p>
      <w:pPr>
        <w:pStyle w:val="Heading2"/>
      </w:pPr>
      <w:r>
        <w:t>4.4 PRX reproduction (quantitative)</w:t>
      </w:r>
    </w:p>
    <w:p>
      <w:pPr>
        <w:spacing w:after="120"/>
      </w:pPr>
      <w:r>
        <w:rPr>
          <w:i/>
          <w:sz w:val="20"/>
        </w:rPr>
        <w:t>Table 4. LRCX Bell fidelity (statevector, min over measurement branches).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Ancilla 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Dynamic min F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Unitary SWAP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&gt;0.999999000 (unitary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&gt;0.999999000 (unitary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</w:tbl>
    <w:p/>
    <w:p>
      <w:pPr>
        <w:spacing w:after="120"/>
      </w:pPr>
      <w:r>
        <w:rPr>
          <w:i/>
          <w:sz w:val="20"/>
        </w:rPr>
        <w:t>Table 5. GHZ preparation fidelity.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Dynamic F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Unitary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</w:tbl>
    <w:p/>
    <w:p>
      <w:pPr>
        <w:pStyle w:val="Heading2"/>
      </w:pPr>
      <w:r>
        <w:t>4.5 Error-budget analysis (qualitative)</w:t>
      </w:r>
    </w:p>
    <w:p>
      <w:pPr>
        <w:spacing w:after="120"/>
        <w:jc w:val="both"/>
      </w:pPr>
      <w:r>
        <w:rPr>
          <w:b w:val="0"/>
          <w:i w:val="0"/>
          <w:sz w:val="22"/>
        </w:rPr>
        <w:t>Using Bäumer et al. Appendix B.2 parameters (μ≈3.65, λ_idle=0.03, λ_CNOT=0.02, λ_meas=0.03), F_proc ≥ exp(−λ_tot). These bounds use paper calibration—not our Aer model. Panels are split by task.</w:t>
      </w:r>
    </w:p>
    <w:p>
      <w:r>
        <w:drawing>
          <wp:inline xmlns:a="http://schemas.openxmlformats.org/drawingml/2006/main" xmlns:pic="http://schemas.openxmlformats.org/drawingml/2006/picture">
            <wp:extent cx="5486400" cy="3073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udget_bell_p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4. Error budget: Bell-state preparation tasks.</w:t>
      </w:r>
    </w:p>
    <w:p>
      <w:r>
        <w:drawing>
          <wp:inline xmlns:a="http://schemas.openxmlformats.org/drawingml/2006/main" xmlns:pic="http://schemas.openxmlformats.org/drawingml/2006/picture">
            <wp:extent cx="5486400" cy="30735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udget_lrc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5. Error budget: long-range CNOT teleportation.</w:t>
      </w:r>
    </w:p>
    <w:p>
      <w:pPr>
        <w:pStyle w:val="Heading2"/>
      </w:pPr>
      <w:r>
        <w:t>4.6 Representative circuits</w:t>
      </w:r>
    </w:p>
    <w:p>
      <w:r>
        <w:drawing>
          <wp:inline xmlns:a="http://schemas.openxmlformats.org/drawingml/2006/main" xmlns:pic="http://schemas.openxmlformats.org/drawingml/2006/picture">
            <wp:extent cx="5760720" cy="37279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ircuit_static_L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6. Static chain (L=5).</w:t>
      </w:r>
    </w:p>
    <w:p>
      <w:r>
        <w:drawing>
          <wp:inline xmlns:a="http://schemas.openxmlformats.org/drawingml/2006/main" xmlns:pic="http://schemas.openxmlformats.org/drawingml/2006/picture">
            <wp:extent cx="5760720" cy="3306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ircuit_swapping_L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Figure 7. Swapping (L=3).</w:t>
      </w:r>
    </w:p>
    <w:p>
      <w:r>
        <w:rPr>
          <w:b/>
          <w:sz w:val="20"/>
        </w:rPr>
        <w:t>Listing 2. Reproduction.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git clone https://github.com/real-louis/Dynamic-Circuit-Strategies-for-Long-Range-Entanglement-under-Local-Connectivity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cd Dynamic-Circuit-Strategies-for-Long-Range-Entanglement-under-Local-Connectivity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pip install -r requirements.txt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python3 scripts/build_graduate_package.py</w:t>
      </w:r>
    </w:p>
    <w:p/>
    <w:p>
      <w:pPr>
        <w:pStyle w:val="Heading1"/>
      </w:pPr>
      <w:r>
        <w:t>5. Discussion and limitations</w:t>
      </w:r>
    </w:p>
    <w:p>
      <w:pPr>
        <w:pStyle w:val="ListNumber"/>
      </w:pPr>
      <w:r>
        <w:t>Simulation uses Qiskit Aer; PRX Quantum reports 101-qubit IBM hardware.</w:t>
      </w:r>
    </w:p>
    <w:p>
      <w:pPr>
        <w:pStyle w:val="ListNumber"/>
      </w:pPr>
      <w:r>
        <w:t>Error-budget curves and P(00)+P(11) use different noise calibrations—compare trends only.</w:t>
      </w:r>
    </w:p>
    <w:p>
      <w:pPr>
        <w:pStyle w:val="ListNumber"/>
      </w:pPr>
      <w:r>
        <w:t>Bell-state preparation ≠ gate teleportation; tasks are related but not identical.</w:t>
      </w:r>
    </w:p>
    <w:p>
      <w:pPr>
        <w:pStyle w:val="ListNumber"/>
      </w:pPr>
      <w:r>
        <w:t>Classical decode approximates feed-forward for fair noisy comparison.</w:t>
      </w:r>
    </w:p>
    <w:p>
      <w:pPr>
        <w:pStyle w:val="Heading1"/>
      </w:pPr>
      <w:r>
        <w:t>6. Conclusion</w:t>
      </w:r>
    </w:p>
    <w:p>
      <w:pPr>
        <w:spacing w:after="120"/>
        <w:jc w:val="both"/>
      </w:pPr>
      <w:r>
        <w:rPr>
          <w:b w:val="0"/>
          <w:i w:val="0"/>
          <w:sz w:val="22"/>
        </w:rPr>
        <w:t>We provide reproducible ladder-topology Bell preparation, PRX circuit reproduction with quantitative fidelities, and a carefully scoped crossover analysis separating simulation from paper error budgets.</w:t>
      </w:r>
    </w:p>
    <w:p>
      <w:pPr>
        <w:pStyle w:val="Heading1"/>
      </w:pPr>
      <w:r>
        <w:t>Acknowledgments</w:t>
      </w:r>
    </w:p>
    <w:p>
      <w:pPr>
        <w:spacing w:after="120"/>
        <w:jc w:val="both"/>
      </w:pPr>
      <w:r>
        <w:rPr>
          <w:b w:val="0"/>
          <w:i w:val="0"/>
          <w:sz w:val="22"/>
        </w:rPr>
        <w:t>I thank Prof. Hsiu-Chuan Hsu for guidance on this project and the Ephys Challenge 2026 organizers.</w:t>
      </w:r>
    </w:p>
    <w:p>
      <w:pPr>
        <w:pStyle w:val="Heading1"/>
      </w:pPr>
      <w:r>
        <w:t>7. Data and code availability</w:t>
      </w:r>
    </w:p>
    <w:p>
      <w:pPr>
        <w:spacing w:after="120"/>
        <w:jc w:val="both"/>
      </w:pPr>
      <w:r>
        <w:rPr>
          <w:b w:val="0"/>
          <w:i w:val="0"/>
          <w:sz w:val="22"/>
        </w:rPr>
        <w:t>Source code and CSV artifacts:</w:t>
      </w:r>
    </w:p>
    <w:p>
      <w:hyperlink r:id="rId16">
        <w:r>
          <w:rPr>
            <w:color w:val="0563C1"/>
            <w:u w:val="single"/>
          </w:rPr>
          <w:t>https://github.com/real-louis/Dynamic-Circuit-Strategies-for-Long-Range-Entanglement-under-Local-Connectivity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>Reproduction reference commit: c8c1e25</w:t>
      </w:r>
    </w:p>
    <w:p>
      <w:pPr>
        <w:spacing w:after="120"/>
        <w:jc w:val="both"/>
      </w:pPr>
      <w:r>
        <w:rPr>
          <w:b w:val="0"/>
          <w:i/>
          <w:sz w:val="22"/>
        </w:rPr>
        <w:t>Contact: louse2121@gmail.com</w:t>
      </w:r>
    </w:p>
    <w:p>
      <w:pPr>
        <w:pStyle w:val="Heading1"/>
      </w:pPr>
      <w:r>
        <w:t>References</w:t>
      </w:r>
    </w:p>
    <w:p>
      <w:r>
        <w:t>[1] E. Bäumer et al., PRX Quantum 5, 030339 (2024). https://doi.org/10.1103/PRXQuantum.5.030339</w:t>
      </w:r>
    </w:p>
    <w:p>
      <w:r>
        <w:t>[2] IBM Quantum, Long-range entanglement with dynamic circuits. https://docs.quantum.ibm.com/</w:t>
      </w:r>
    </w:p>
    <w:p>
      <w:r>
        <w:t>[3] Ephys Challenge 2026, National Chengchi University.</w:t>
      </w:r>
    </w:p>
    <w:p>
      <w:r>
        <w:br w:type="page"/>
      </w:r>
    </w:p>
    <w:p>
      <w:pPr>
        <w:pStyle w:val="Heading1"/>
      </w:pPr>
      <w:r>
        <w:t>Appendix A. Figure index</w:t>
      </w:r>
    </w:p>
    <w:p>
      <w:pPr>
        <w:spacing w:after="120"/>
      </w:pPr>
      <w:r>
        <w:rPr>
          <w:i/>
          <w:sz w:val="20"/>
        </w:rPr>
        <w:t>Table A1.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Fig.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resources_cx_vs_L.png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ephys/competition_suite.py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figure_chsh_comparison.png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scripts/report_figures.py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crossover_simulation_with_ci.png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scripts/report_figures.py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4–5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error_budget_*.png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scripts/error_budget_analysis.py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6–7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figure_circuit_*.png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ephys/src/challenge_common.py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github.com/real-louis/Dynamic-Circuit-Strategies-for-Long-Range-Entanglement-under-Local-Conne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