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4B5563"/>
          <w:sz w:val="18"/>
          <w:szCs w:val="18"/>
        </w:rPr>
        <w:t xml:space="preserve">REAL RAILS — QUALITY GATE</w:t>
      </w:r>
    </w:p>
    <w:p>
      <w:pPr>
        <w:spacing w:after="100" w:before="0"/>
      </w:pPr>
      <w:r>
        <w:rPr>
          <w:rFonts w:ascii="Arial" w:cs="Arial" w:eastAsia="Arial" w:hAnsi="Arial"/>
          <w:b/>
          <w:bCs/>
          <w:color w:val="F9FAFB"/>
          <w:sz w:val="52"/>
          <w:szCs w:val="52"/>
        </w:rPr>
        <w:t xml:space="preserve">Visualization Audit Report (VAR)</w:t>
      </w:r>
    </w:p>
    <w:p>
      <w:pPr>
        <w:spacing w:after="40" w:before="0"/>
      </w:pPr>
      <w:r>
        <w:rPr>
          <w:rFonts w:ascii="Arial" w:cs="Arial" w:eastAsia="Arial" w:hAnsi="Arial"/>
          <w:b/>
          <w:bCs/>
          <w:color w:val="38BDF8"/>
          <w:sz w:val="28"/>
          <w:szCs w:val="28"/>
        </w:rPr>
        <w:t xml:space="preserve">PoC #24 — Submarine Cable Dependency Map</w:t>
      </w:r>
    </w:p>
    <w:p>
      <w:pPr>
        <w:spacing w:after="160" w:before="0"/>
      </w:pPr>
      <w:r>
        <w:rPr>
          <w:rFonts w:ascii="Arial" w:cs="Arial" w:eastAsia="Arial" w:hAnsi="Arial"/>
          <w:color w:val="6B7280"/>
          <w:sz w:val="20"/>
          <w:szCs w:val="20"/>
        </w:rPr>
        <w:t xml:space="preserve">Audit Date: 10 April 2026   |   Auditor: AI (Real Rails Protocol)   |   Verdict: PASS</w:t>
      </w:r>
    </w:p>
    <w:p>
      <w:pPr>
        <w:pBdr>
          <w:bottom w:val="single" w:color="1F2937" w:sz="4"/>
        </w:pBdr>
        <w:spacing w:after="80" w:before="80"/>
      </w:pPr>
    </w:p>
    <w:p>
      <w:pPr>
        <w:pStyle w:val="Heading1"/>
        <w:spacing w:after="140" w:before="280"/>
      </w:pPr>
      <w:r>
        <w:rPr>
          <w:rFonts w:ascii="Arial" w:cs="Arial" w:eastAsia="Arial" w:hAnsi="Arial"/>
          <w:b/>
          <w:bCs/>
          <w:color w:val="38BDF8"/>
          <w:sz w:val="28"/>
          <w:szCs w:val="28"/>
        </w:rPr>
        <w:t xml:space="preserve">1. Audit Summary</w:t>
      </w:r>
    </w:p>
    <w:p>
      <w:pPr>
        <w:spacing w:after="80" w:before="80"/>
      </w:pPr>
      <w:r>
        <w:rPr>
          <w:rFonts w:ascii="Arial" w:cs="Arial" w:eastAsia="Arial" w:hAnsi="Arial"/>
          <w:b w:val="false"/>
          <w:bCs w:val="false"/>
          <w:color w:val="9CA3AF"/>
          <w:sz w:val="20"/>
          <w:szCs w:val="20"/>
        </w:rPr>
        <w:t xml:space="preserve">This VAR verifies PoC #24 against all Real Rails DNA constraints, the Execution Protocol (Documents 1–4), and the PoC #24 Case Study specification. Audit was performed against the Repomix codebase snapshot provided by the developer.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Category</w:t>
            </w:r>
          </w:p>
        </w:tc>
        <w:tc>
          <w:tcPr>
            <w:tcW w:type="dxa" w:w="312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Count</w:t>
            </w:r>
          </w:p>
        </w:tc>
        <w:tc>
          <w:tcPr>
            <w:tcW w:type="dxa" w:w="312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Result</w:t>
            </w:r>
          </w:p>
        </w:tc>
      </w:tr>
      <w:tr>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D1D5DB"/>
                <w:sz w:val="18"/>
                <w:szCs w:val="18"/>
              </w:rPr>
              <w:t xml:space="preserve">PASS</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34D399"/>
                <w:sz w:val="18"/>
                <w:szCs w:val="18"/>
              </w:rPr>
              <w:t xml:space="preserve">33</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D1D5DB"/>
                <w:sz w:val="18"/>
                <w:szCs w:val="18"/>
              </w:rPr>
              <w:t xml:space="preserve">All Phase 1 requirements met</w:t>
            </w:r>
          </w:p>
        </w:tc>
      </w:tr>
      <w:tr>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D1D5DB"/>
                <w:sz w:val="18"/>
                <w:szCs w:val="18"/>
              </w:rPr>
              <w:t xml:space="preserve">WARN</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59E0B"/>
                <w:sz w:val="18"/>
                <w:szCs w:val="18"/>
              </w:rPr>
              <w:t xml:space="preserve">4</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D1D5DB"/>
                <w:sz w:val="18"/>
                <w:szCs w:val="18"/>
              </w:rPr>
              <w:t xml:space="preserve">Phase 2 features, non-blocking</w:t>
            </w:r>
          </w:p>
        </w:tc>
      </w:tr>
      <w:tr>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D1D5DB"/>
                <w:sz w:val="18"/>
                <w:szCs w:val="18"/>
              </w:rPr>
              <w:t xml:space="preserve">FAIL</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34D399"/>
                <w:sz w:val="18"/>
                <w:szCs w:val="18"/>
              </w:rPr>
              <w:t xml:space="preserve">0</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D1D5DB"/>
                <w:sz w:val="18"/>
                <w:szCs w:val="18"/>
              </w:rPr>
              <w:t xml:space="preserve">No blockers</w:t>
            </w:r>
          </w:p>
        </w:tc>
      </w:tr>
      <w:tr>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38BDF8"/>
                <w:sz w:val="18"/>
                <w:szCs w:val="18"/>
              </w:rPr>
              <w:t xml:space="preserve">OVERALL VERDICT</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34D399"/>
                <w:sz w:val="20"/>
                <w:szCs w:val="20"/>
              </w:rPr>
              <w:t xml:space="preserve">PASS</w:t>
            </w:r>
          </w:p>
        </w:tc>
        <w:tc>
          <w:tcPr>
            <w:tcW w:type="dxa" w:w="312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34D399"/>
                <w:sz w:val="18"/>
                <w:szCs w:val="18"/>
              </w:rPr>
              <w:t xml:space="preserve">Clear to proceed to UAT</w:t>
            </w:r>
          </w:p>
        </w:tc>
      </w:tr>
    </w:tbl>
    <w:p>
      <w:pPr>
        <w:spacing w:after="0" w:before="160"/>
      </w:pPr>
    </w:p>
    <w:p>
      <w:pPr>
        <w:pStyle w:val="Heading1"/>
        <w:spacing w:after="140" w:before="280"/>
      </w:pPr>
      <w:r>
        <w:rPr>
          <w:rFonts w:ascii="Arial" w:cs="Arial" w:eastAsia="Arial" w:hAnsi="Arial"/>
          <w:b/>
          <w:bCs/>
          <w:color w:val="38BDF8"/>
          <w:sz w:val="28"/>
          <w:szCs w:val="28"/>
        </w:rPr>
        <w:t xml:space="preserve">2. DNA Conformance</w:t>
      </w:r>
    </w:p>
    <w:p>
      <w:pPr>
        <w:pStyle w:val="Heading2"/>
        <w:spacing w:after="100" w:before="200"/>
      </w:pPr>
      <w:r>
        <w:rPr>
          <w:rFonts w:ascii="Arial" w:cs="Arial" w:eastAsia="Arial" w:hAnsi="Arial"/>
          <w:b/>
          <w:bCs/>
          <w:color w:val="818CF8"/>
          <w:sz w:val="24"/>
          <w:szCs w:val="24"/>
        </w:rPr>
        <w:t xml:space="preserve">2.1 Visual Identity</w:t>
      </w:r>
    </w:p>
    <w:p>
      <w:pPr>
        <w:spacing w:after="80" w:before="80"/>
      </w:pPr>
      <w:r>
        <w:rPr>
          <w:rFonts w:ascii="Arial" w:cs="Arial" w:eastAsia="Arial" w:hAnsi="Arial"/>
          <w:b w:val="false"/>
          <w:bCs w:val="false"/>
          <w:color w:val="9CA3AF"/>
          <w:sz w:val="20"/>
          <w:szCs w:val="20"/>
        </w:rPr>
        <w:t xml:space="preserve">The #030712 Obsidian Black background is enforced in globals.css and page.tsx. #0B1117 Deep Navy Grey is used for all sidebar cards. Electric Cyan (#38BDF8) and Indigo (#818CF8) accents are consistently applied throughout. The .glass-card class in globals.css implements glassmorphism with backdrop-filter and a 1px #1F2937 border. Geist Sans and Geist Mono are loaded via next/font in layout.tsx.</w:t>
      </w:r>
    </w:p>
    <w:p>
      <w:pPr>
        <w:pStyle w:val="Heading2"/>
        <w:spacing w:after="100" w:before="200"/>
      </w:pPr>
      <w:r>
        <w:rPr>
          <w:rFonts w:ascii="Arial" w:cs="Arial" w:eastAsia="Arial" w:hAnsi="Arial"/>
          <w:b/>
          <w:bCs/>
          <w:color w:val="818CF8"/>
          <w:sz w:val="24"/>
          <w:szCs w:val="24"/>
        </w:rPr>
        <w:t xml:space="preserve">2.2 Technical Stack</w:t>
      </w:r>
    </w:p>
    <w:p>
      <w:pPr>
        <w:spacing w:after="80" w:before="80"/>
      </w:pPr>
      <w:r>
        <w:rPr>
          <w:rFonts w:ascii="Arial" w:cs="Arial" w:eastAsia="Arial" w:hAnsi="Arial"/>
          <w:b w:val="false"/>
          <w:bCs w:val="false"/>
          <w:color w:val="9CA3AF"/>
          <w:sz w:val="20"/>
          <w:szCs w:val="20"/>
        </w:rPr>
        <w:t xml:space="preserve">Next.js 14 (App Router), TypeScript (.tsx throughout), and Tailwind CSS are fully implemented. React Leaflet is used for the map with CARTO dark tiles. The GUARDRAIL against manual SVG coordinate math is observed — all paths are Polyline elements driven by backend API data. FastAPI backend with mock_cables.json data loading is fully compliant.</w:t>
      </w:r>
    </w:p>
    <w:p>
      <w:pPr>
        <w:pStyle w:val="Heading2"/>
        <w:spacing w:after="100" w:before="200"/>
      </w:pPr>
      <w:r>
        <w:rPr>
          <w:rFonts w:ascii="Arial" w:cs="Arial" w:eastAsia="Arial" w:hAnsi="Arial"/>
          <w:b/>
          <w:bCs/>
          <w:color w:val="818CF8"/>
          <w:sz w:val="24"/>
          <w:szCs w:val="24"/>
        </w:rPr>
        <w:t xml:space="preserve">2.3 Layout Protocol (70/30 Split)</w:t>
      </w:r>
    </w:p>
    <w:p>
      <w:pPr>
        <w:spacing w:after="80" w:before="80"/>
      </w:pPr>
      <w:r>
        <w:rPr>
          <w:rFonts w:ascii="Arial" w:cs="Arial" w:eastAsia="Arial" w:hAnsi="Arial"/>
          <w:b w:val="false"/>
          <w:bCs w:val="false"/>
          <w:color w:val="9CA3AF"/>
          <w:sz w:val="20"/>
          <w:szCs w:val="20"/>
        </w:rPr>
        <w:t xml:space="preserve">page.tsx implements flex-row: flex-1 (map, 70%) and w-[30%] (sidebar). All five sidebar sections (A–E) are present: Title &amp; Metric, Why This Matters, Who Controls the Rail, Country Dependency Filter, and Download button.</w:t>
      </w:r>
    </w:p>
    <w:p>
      <w:pPr>
        <w:pStyle w:val="Heading1"/>
        <w:spacing w:after="140" w:before="280"/>
      </w:pPr>
      <w:r>
        <w:rPr>
          <w:rFonts w:ascii="Arial" w:cs="Arial" w:eastAsia="Arial" w:hAnsi="Arial"/>
          <w:b/>
          <w:bCs/>
          <w:color w:val="38BDF8"/>
          <w:sz w:val="28"/>
          <w:szCs w:val="28"/>
        </w:rPr>
        <w:t xml:space="preserve">3. Full Audit Table</w:t>
      </w:r>
    </w:p>
    <w:p>
      <w:pPr>
        <w:spacing w:after="80" w:before="80"/>
      </w:pPr>
      <w:r>
        <w:rPr>
          <w:rFonts w:ascii="Arial" w:cs="Arial" w:eastAsia="Arial" w:hAnsi="Arial"/>
          <w:b w:val="false"/>
          <w:bCs w:val="false"/>
          <w:color w:val="9CA3AF"/>
          <w:sz w:val="20"/>
          <w:szCs w:val="20"/>
        </w:rPr>
        <w:t xml:space="preserve">Every requirement from the Master Manifesto, Execution Protocol, and PoC Case Study is mapped below.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000"/>
        <w:gridCol w:w="800"/>
        <w:gridCol w:w="2560"/>
      </w:tblGrid>
      <w:tr>
        <w:trPr>
          <w:tblHeader/>
        </w:trPr>
        <w:tc>
          <w:tcPr>
            <w:tcW w:type="dxa" w:w="190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Requirement</w:t>
            </w:r>
          </w:p>
        </w:tc>
        <w:tc>
          <w:tcPr>
            <w:tcW w:type="dxa" w:w="110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Source</w:t>
            </w:r>
          </w:p>
        </w:tc>
        <w:tc>
          <w:tcPr>
            <w:tcW w:type="dxa" w:w="300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Observed Implementation</w:t>
            </w:r>
          </w:p>
        </w:tc>
        <w:tc>
          <w:tcPr>
            <w:tcW w:type="dxa" w:w="80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Status</w:t>
            </w:r>
          </w:p>
        </w:tc>
        <w:tc>
          <w:tcPr>
            <w:tcW w:type="dxa" w:w="2560"/>
            <w:tcBorders>
              <w:top w:val="single" w:color="1F2937" w:sz="1"/>
              <w:left w:val="single" w:color="1F2937" w:sz="1"/>
              <w:bottom w:val="single" w:color="1F2937" w:sz="1"/>
              <w:right w:val="single" w:color="1F2937" w:sz="1"/>
            </w:tcBorders>
            <w:shd w:fill="030F1C" w:val="clear"/>
            <w:tcMar>
              <w:top w:type="dxa" w:w="80"/>
              <w:left w:type="dxa" w:w="120"/>
              <w:bottom w:type="dxa" w:w="80"/>
              <w:right w:type="dxa" w:w="120"/>
            </w:tcMar>
          </w:tcPr>
          <w:p>
            <w:r>
              <w:rPr>
                <w:rFonts w:ascii="Arial" w:cs="Arial" w:eastAsia="Arial" w:hAnsi="Arial"/>
                <w:b/>
                <w:bCs/>
                <w:color w:val="38BDF8"/>
                <w:sz w:val="18"/>
                <w:szCs w:val="18"/>
              </w:rPr>
              <w:t xml:space="preserve">Notes</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Background #030712</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globals.css body bg + page.tsx wrapper style #030712</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Exact match</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Sidebar = 30% width</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§3</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page.tsx: div w-[30%] Tailwind class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Correct</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Main Stage = 70%</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§3</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page.tsx: flex-1 auto-fill</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Correct</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Inter/Geist font</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layout.tsx: Geist + Geist_Mono via next/font</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Both loaded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Glassmorphism cards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globals.css: .glass-card backdrop-blur, 1px border</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Cyan glow active</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Leaflet map</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§2 &amp; PoC</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MapStage.tsx: react-leaflet MapContainer</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CARTO dark tiles</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Dark map tiles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TileLayer: cartocdn.com/dark_all</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Theme-consistent</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Cable polylines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Polyline per cable, CABLE_COLORS array</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5 cables rendered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Landing point markers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CircleMarker per station, cyan color</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10 stations</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Cable tooltip</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Polyline &gt; Tooltip: name, km, owners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Correct data</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Station tooltip</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CircleMarker &gt; Tooltip: country, cable count</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Correct</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Cable click handler</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onCableClick → selectedCable state</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Highlights cable</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Selected cable highlight</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isSelected: weight 4, #FFFFFF, opacity 1</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Clear feedback</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Sidebar A: Title &amp; Metric</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§3-A</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glass-card: PoC label, 5 cables + 10 points metrics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Both present</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Sidebar B: Why This Matters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§3-B</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Copy: 99% stat, anchor/quake context</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Compelling</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Sidebar C: Who Controls Rail</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§3-C</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5 owners: Google, Meta, Orange, Tata, China Telecom</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Correct list</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Sidebar D: Country Filter</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§3-D</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Select → /api/country/{name} → risk + cables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Full pipeline</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Weighted Redundancy Score</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cables.py: age_factor * (0.5 + 0.5 * diversity_factor)</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Documented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Risk badge LOW/MED/HIGH</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Thresholds ≥2.0/≥1.0/&lt;1.0 with colour badge</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Color-coded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Allocator Recommendation</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Case Study</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Risk-keyed recommendation string in sidebar</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Per risk level</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Sidebar E: Download button</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§3-E</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downloadSampleData() → JSON blob</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Functional</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FastAPI backend</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main.py: FastAPI, CORS localhost:3000</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Correct</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CORS middleware</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§4</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allow_origins=[localhost:3000], all methods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Secured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GET /api/cables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Returns build_response({cables})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Meta-wrapped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GET /api/landing-stations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Returns build_response({landing_stations})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Meta-wrapped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GET /api/country/{name}</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1</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Full dependency schema with risk + cables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Full schema</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GET /api/data-sources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§4</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Returns DATA_SOURCES dict</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Transparency layer</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Meta wrapper on responses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build_response(): primary, data_mode, trust_level, disclaimer, ts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All responses</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SIMULATED data mode label</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§4</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data_mode=SIMULATED, amber badge in sidebar</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Clearly labelled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.env / no hardcoded keys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§4</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No API keys in code; .env in .gitignore</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Secure</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Mock data fallback</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§4</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mock_cables.json always loaded; no live dependency</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Always functional</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TypeScript</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tsconfig.json, all .tsx typed</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No JS files</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Tailwind CSS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postcss.config.mjs, @tailwind directives</w:t>
            </w:r>
          </w:p>
        </w:tc>
        <w:tc>
          <w:tcPr>
            <w:tcW w:type="dxa" w:w="800"/>
            <w:tcBorders>
              <w:top w:val="single" w:color="1F2937" w:sz="1"/>
              <w:left w:val="single" w:color="1F2937" w:sz="1"/>
              <w:bottom w:val="single" w:color="1F2937" w:sz="1"/>
              <w:right w:val="single" w:color="1F2937" w:sz="1"/>
            </w:tcBorders>
            <w:shd w:fill="052E1C" w:val="clear"/>
            <w:tcMar>
              <w:top w:type="dxa" w:w="80"/>
              <w:left w:type="dxa" w:w="120"/>
              <w:bottom w:type="dxa" w:w="80"/>
              <w:right w:type="dxa" w:w="120"/>
            </w:tcMar>
          </w:tcPr>
          <w:p>
            <w:pPr>
              <w:jc w:val="center"/>
            </w:pPr>
            <w:r>
              <w:rPr>
                <w:rFonts w:ascii="Arial" w:cs="Arial" w:eastAsia="Arial" w:hAnsi="Arial"/>
                <w:b/>
                <w:bCs/>
                <w:color w:val="34D399"/>
                <w:sz w:val="18"/>
                <w:szCs w:val="18"/>
              </w:rPr>
              <w:t xml:space="preserve">PASS</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Configured</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shadcn/ui formal install</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DNA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glass-card custom class; npx shadcn-ui not run</w:t>
            </w:r>
          </w:p>
        </w:tc>
        <w:tc>
          <w:tcPr>
            <w:tcW w:type="dxa" w:w="800"/>
            <w:tcBorders>
              <w:top w:val="single" w:color="1F2937" w:sz="1"/>
              <w:left w:val="single" w:color="1F2937" w:sz="1"/>
              <w:bottom w:val="single" w:color="1F2937" w:sz="1"/>
              <w:right w:val="single" w:color="1F2937" w:sz="1"/>
            </w:tcBorders>
            <w:shd w:fill="2D1F00"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WARN</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Phase 2 hardening</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Failure Simulation (Turf.js)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Not yet implemented; Turf.js not in package.json</w:t>
            </w:r>
          </w:p>
        </w:tc>
        <w:tc>
          <w:tcPr>
            <w:tcW w:type="dxa" w:w="800"/>
            <w:tcBorders>
              <w:top w:val="single" w:color="1F2937" w:sz="1"/>
              <w:left w:val="single" w:color="1F2937" w:sz="1"/>
              <w:bottom w:val="single" w:color="1F2937" w:sz="1"/>
              <w:right w:val="single" w:color="1F2937" w:sz="1"/>
            </w:tcBorders>
            <w:shd w:fill="2D1F00"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WARN</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Phase 2 feature</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D3.js Benchmarking</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Not implemented; D3.js not in package.json</w:t>
            </w:r>
          </w:p>
        </w:tc>
        <w:tc>
          <w:tcPr>
            <w:tcW w:type="dxa" w:w="800"/>
            <w:tcBorders>
              <w:top w:val="single" w:color="1F2937" w:sz="1"/>
              <w:left w:val="single" w:color="1F2937" w:sz="1"/>
              <w:bottom w:val="single" w:color="1F2937" w:sz="1"/>
              <w:right w:val="single" w:color="1F2937" w:sz="1"/>
            </w:tcBorders>
            <w:shd w:fill="2D1F00"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WARN</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Phase 2 feature</w:t>
            </w:r>
          </w:p>
        </w:tc>
      </w:tr>
      <w:tr>
        <w:tc>
          <w:tcPr>
            <w:tcW w:type="dxa" w:w="19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bCs/>
                <w:color w:val="F9FAFB"/>
                <w:sz w:val="17"/>
                <w:szCs w:val="17"/>
              </w:rPr>
              <w:t xml:space="preserve">RIPEstat live alerts</w:t>
            </w:r>
          </w:p>
        </w:tc>
        <w:tc>
          <w:tcPr>
            <w:tcW w:type="dxa" w:w="11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PoC Phase 2</w:t>
            </w:r>
          </w:p>
        </w:tc>
        <w:tc>
          <w:tcPr>
            <w:tcW w:type="dxa" w:w="300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9CA3AF"/>
                <w:sz w:val="17"/>
                <w:szCs w:val="17"/>
              </w:rPr>
              <w:t xml:space="preserve">data_mode=SIMULATED; live API not connected</w:t>
            </w:r>
          </w:p>
        </w:tc>
        <w:tc>
          <w:tcPr>
            <w:tcW w:type="dxa" w:w="800"/>
            <w:tcBorders>
              <w:top w:val="single" w:color="1F2937" w:sz="1"/>
              <w:left w:val="single" w:color="1F2937" w:sz="1"/>
              <w:bottom w:val="single" w:color="1F2937" w:sz="1"/>
              <w:right w:val="single" w:color="1F2937" w:sz="1"/>
            </w:tcBorders>
            <w:shd w:fill="2D1F00"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WARN</w:t>
            </w:r>
          </w:p>
        </w:tc>
        <w:tc>
          <w:tcPr>
            <w:tcW w:type="dxa" w:w="2560"/>
            <w:tcBorders>
              <w:top w:val="single" w:color="1F2937" w:sz="1"/>
              <w:left w:val="single" w:color="1F2937" w:sz="1"/>
              <w:bottom w:val="single" w:color="1F2937" w:sz="1"/>
              <w:right w:val="single" w:color="1F2937" w:sz="1"/>
            </w:tcBorders>
            <w:shd w:fill="0B1117" w:val="clear"/>
            <w:tcMar>
              <w:top w:type="dxa" w:w="80"/>
              <w:left w:type="dxa" w:w="120"/>
              <w:bottom w:type="dxa" w:w="80"/>
              <w:right w:type="dxa" w:w="120"/>
            </w:tcMar>
          </w:tcPr>
          <w:p>
            <w:r>
              <w:rPr>
                <w:rFonts w:ascii="Arial" w:cs="Arial" w:eastAsia="Arial" w:hAnsi="Arial"/>
                <w:b w:val="false"/>
                <w:bCs w:val="false"/>
                <w:color w:val="6B7280"/>
                <w:sz w:val="16"/>
                <w:szCs w:val="16"/>
              </w:rPr>
              <w:t xml:space="preserve">Needs API key</w:t>
            </w:r>
          </w:p>
        </w:tc>
      </w:tr>
    </w:tbl>
    <w:p>
      <w:pPr>
        <w:spacing w:after="0" w:before="160"/>
      </w:pPr>
    </w:p>
    <w:p>
      <w:pPr>
        <w:pStyle w:val="Heading1"/>
        <w:spacing w:after="140" w:before="280"/>
      </w:pPr>
      <w:r>
        <w:rPr>
          <w:rFonts w:ascii="Arial" w:cs="Arial" w:eastAsia="Arial" w:hAnsi="Arial"/>
          <w:b/>
          <w:bCs/>
          <w:color w:val="38BDF8"/>
          <w:sz w:val="28"/>
          <w:szCs w:val="28"/>
        </w:rPr>
        <w:t xml:space="preserve">4. Data Architecture</w:t>
      </w:r>
    </w:p>
    <w:p>
      <w:pPr>
        <w:pStyle w:val="Heading2"/>
        <w:spacing w:after="100" w:before="200"/>
      </w:pPr>
      <w:r>
        <w:rPr>
          <w:rFonts w:ascii="Arial" w:cs="Arial" w:eastAsia="Arial" w:hAnsi="Arial"/>
          <w:b/>
          <w:bCs/>
          <w:color w:val="818CF8"/>
          <w:sz w:val="24"/>
          <w:szCs w:val="24"/>
        </w:rPr>
        <w:t xml:space="preserve">4.1 API Endpoints</w:t>
      </w:r>
    </w:p>
    <w:p>
      <w:pPr>
        <w:spacing w:after="80" w:before="80"/>
      </w:pPr>
      <w:r>
        <w:rPr>
          <w:rFonts w:ascii="Arial" w:cs="Arial" w:eastAsia="Arial" w:hAnsi="Arial"/>
          <w:b w:val="false"/>
          <w:bCs w:val="false"/>
          <w:color w:val="9CA3AF"/>
          <w:sz w:val="20"/>
          <w:szCs w:val="20"/>
        </w:rPr>
        <w:t xml:space="preserve">Five FastAPI endpoints implemented: GET /api/cables, /api/cables/{id}, /api/landing-stations, /api/country/{name}, /api/data-sources. All use the build_response() wrapper with full metadata.</w:t>
      </w:r>
    </w:p>
    <w:p>
      <w:pPr>
        <w:pStyle w:val="Heading2"/>
        <w:spacing w:after="100" w:before="200"/>
      </w:pPr>
      <w:r>
        <w:rPr>
          <w:rFonts w:ascii="Arial" w:cs="Arial" w:eastAsia="Arial" w:hAnsi="Arial"/>
          <w:b/>
          <w:bCs/>
          <w:color w:val="818CF8"/>
          <w:sz w:val="24"/>
          <w:szCs w:val="24"/>
        </w:rPr>
        <w:t xml:space="preserve">4.2 Data Transparency</w:t>
      </w:r>
    </w:p>
    <w:p>
      <w:pPr>
        <w:spacing w:after="80" w:before="80"/>
      </w:pPr>
      <w:r>
        <w:rPr>
          <w:rFonts w:ascii="Arial" w:cs="Arial" w:eastAsia="Arial" w:hAnsi="Arial"/>
          <w:b w:val="false"/>
          <w:bCs w:val="false"/>
          <w:color w:val="9CA3AF"/>
          <w:sz w:val="20"/>
          <w:szCs w:val="20"/>
        </w:rPr>
        <w:t xml:space="preserve">data_mode='SIMULATED' is correctly labelled in the sidebar as an amber badge with trust level. Users always know they are viewing synthetic data. This satisfies the Real Rails transparency principle.</w:t>
      </w:r>
    </w:p>
    <w:p>
      <w:pPr>
        <w:pStyle w:val="Heading2"/>
        <w:spacing w:after="100" w:before="200"/>
      </w:pPr>
      <w:r>
        <w:rPr>
          <w:rFonts w:ascii="Arial" w:cs="Arial" w:eastAsia="Arial" w:hAnsi="Arial"/>
          <w:b/>
          <w:bCs/>
          <w:color w:val="818CF8"/>
          <w:sz w:val="24"/>
          <w:szCs w:val="24"/>
        </w:rPr>
        <w:t xml:space="preserve">4.3 Weighted Redundancy Score Logic</w:t>
      </w:r>
    </w:p>
    <w:p>
      <w:pPr>
        <w:spacing w:after="80" w:before="80"/>
      </w:pPr>
      <w:r>
        <w:rPr>
          <w:rFonts w:ascii="Arial" w:cs="Arial" w:eastAsia="Arial" w:hAnsi="Arial"/>
          <w:b w:val="false"/>
          <w:bCs w:val="false"/>
          <w:color w:val="9CA3AF"/>
          <w:sz w:val="20"/>
          <w:szCs w:val="20"/>
        </w:rPr>
        <w:t xml:space="preserve">The algorithm in cables.py: age_factor = 1.0 if age ≤ 10 else 0.7; diversity_factor = min(owners/3, 1.0); cable_score = age_factor × (0.5 + 0.5 × diversity_factor). Thresholds: ≥2.0 = LOW risk, ≥1.0 = MEDIUM, &lt;1.0 = HIGH. This is well-reasoned and correctly implemented.</w:t>
      </w:r>
    </w:p>
    <w:p>
      <w:pPr>
        <w:pStyle w:val="Heading1"/>
        <w:spacing w:after="140" w:before="280"/>
      </w:pPr>
      <w:r>
        <w:rPr>
          <w:rFonts w:ascii="Arial" w:cs="Arial" w:eastAsia="Arial" w:hAnsi="Arial"/>
          <w:b/>
          <w:bCs/>
          <w:color w:val="38BDF8"/>
          <w:sz w:val="28"/>
          <w:szCs w:val="28"/>
        </w:rPr>
        <w:t xml:space="preserve">5. WARN Items — Phase 2 Roadmap</w:t>
      </w:r>
    </w:p>
    <w:p>
      <w:pPr>
        <w:pStyle w:val="ListParagraph"/>
        <w:numPr>
          <w:ilvl w:val="0"/>
          <w:numId w:val="2"/>
        </w:numPr>
        <w:spacing w:after="60" w:before="60"/>
      </w:pPr>
      <w:r>
        <w:rPr>
          <w:rFonts w:ascii="Arial" w:cs="Arial" w:eastAsia="Arial" w:hAnsi="Arial"/>
          <w:color w:val="F59E0B"/>
          <w:sz w:val="20"/>
          <w:szCs w:val="20"/>
        </w:rPr>
        <w:t xml:space="preserve">shadcn/ui: glass-card is custom CSS. Recommend running npx shadcn-ui init for production hardening.</w:t>
      </w:r>
    </w:p>
    <w:p>
      <w:pPr>
        <w:pStyle w:val="ListParagraph"/>
        <w:numPr>
          <w:ilvl w:val="0"/>
          <w:numId w:val="2"/>
        </w:numPr>
        <w:spacing w:after="60" w:before="60"/>
      </w:pPr>
      <w:r>
        <w:rPr>
          <w:rFonts w:ascii="Arial" w:cs="Arial" w:eastAsia="Arial" w:hAnsi="Arial"/>
          <w:color w:val="F59E0B"/>
          <w:sz w:val="20"/>
          <w:szCs w:val="20"/>
        </w:rPr>
        <w:t xml:space="preserve">Failure Simulation: Turf.js not in package.json. The What-If cable-cut engine (PoC Phase 2) is not yet built.</w:t>
      </w:r>
    </w:p>
    <w:p>
      <w:pPr>
        <w:pStyle w:val="ListParagraph"/>
        <w:numPr>
          <w:ilvl w:val="0"/>
          <w:numId w:val="2"/>
        </w:numPr>
        <w:spacing w:after="60" w:before="60"/>
      </w:pPr>
      <w:r>
        <w:rPr>
          <w:rFonts w:ascii="Arial" w:cs="Arial" w:eastAsia="Arial" w:hAnsi="Arial"/>
          <w:color w:val="F59E0B"/>
          <w:sz w:val="20"/>
          <w:szCs w:val="20"/>
        </w:rPr>
        <w:t xml:space="preserve">D3.js Benchmarking: Not in package.json. Regional redundancy comparison chart is a Phase 2 deliverable.</w:t>
      </w:r>
    </w:p>
    <w:p>
      <w:pPr>
        <w:pStyle w:val="ListParagraph"/>
        <w:numPr>
          <w:ilvl w:val="0"/>
          <w:numId w:val="2"/>
        </w:numPr>
        <w:spacing w:after="60" w:before="60"/>
      </w:pPr>
      <w:r>
        <w:rPr>
          <w:rFonts w:ascii="Arial" w:cs="Arial" w:eastAsia="Arial" w:hAnsi="Arial"/>
          <w:color w:val="F59E0B"/>
          <w:sz w:val="20"/>
          <w:szCs w:val="20"/>
        </w:rPr>
        <w:t xml:space="preserve">RIPEstat Live Feed: data_mode remains SIMULATED. Requires API key in .env and endpoint integration.</w:t>
      </w:r>
    </w:p>
    <w:p>
      <w:pPr>
        <w:pStyle w:val="Heading1"/>
        <w:spacing w:after="140" w:before="280"/>
      </w:pPr>
      <w:r>
        <w:rPr>
          <w:rFonts w:ascii="Arial" w:cs="Arial" w:eastAsia="Arial" w:hAnsi="Arial"/>
          <w:b/>
          <w:bCs/>
          <w:color w:val="38BDF8"/>
          <w:sz w:val="28"/>
          <w:szCs w:val="28"/>
        </w:rPr>
        <w:t xml:space="preserve">6. Auditor Verdict</w:t>
      </w:r>
    </w:p>
    <w:p>
      <w:pPr>
        <w:pBdr>
          <w:left w:val="single" w:color="34D399" w:sz="16"/>
        </w:pBdr>
        <w:spacing w:after="100" w:before="100"/>
        <w:ind w:left="240"/>
      </w:pPr>
      <w:r>
        <w:rPr>
          <w:rFonts w:ascii="Arial" w:cs="Arial" w:eastAsia="Arial" w:hAnsi="Arial"/>
          <w:b/>
          <w:bCs/>
          <w:color w:val="34D399"/>
          <w:sz w:val="28"/>
          <w:szCs w:val="28"/>
        </w:rPr>
        <w:t xml:space="preserve">AUDIT VERDICT: PASS — PROCEED TO UAT (Step 2)</w:t>
      </w:r>
    </w:p>
    <w:p>
      <w:pPr>
        <w:spacing w:after="80" w:before="80"/>
      </w:pPr>
      <w:r>
        <w:rPr>
          <w:rFonts w:ascii="Arial" w:cs="Arial" w:eastAsia="Arial" w:hAnsi="Arial"/>
          <w:b w:val="false"/>
          <w:bCs w:val="false"/>
          <w:color w:val="9CA3AF"/>
          <w:sz w:val="20"/>
          <w:szCs w:val="20"/>
        </w:rPr>
        <w:t xml:space="preserve">PoC #24 satisfies all Phase 1 requirements. The dashboard correctly implements the Real Rails DNA, the 70/30 layout, all five sidebar sections, interactive cable map, country dependency view, weighted redundancy scoring, data transparency, and download. The 4 WARN items are Phase 2 features that are non-blocking for client delivery. Developer is cleared to proceed to the UAT Checklist.</w:t>
      </w:r>
    </w:p>
    <w:p>
      <w:pPr>
        <w:spacing w:after="80" w:before="80"/>
      </w:pPr>
      <w:r>
        <w:rPr>
          <w:rFonts w:ascii="Arial" w:cs="Arial" w:eastAsia="Arial" w:hAnsi="Arial"/>
          <w:b w:val="false"/>
          <w:bCs w:val="false"/>
          <w:color w:val="4B5563"/>
          <w:sz w:val="18"/>
          <w:szCs w:val="18"/>
        </w:rPr>
        <w:t xml:space="preserve">Signed: AI Auditor (Real Rails Quality Protocol)   |   10 April 2026</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2937" w:sz="4"/>
      </w:pBdr>
      <w:spacing w:before="80"/>
    </w:pPr>
    <w:r>
      <w:rPr>
        <w:rFonts w:ascii="Arial" w:cs="Arial" w:eastAsia="Arial" w:hAnsi="Arial"/>
        <w:color w:val="4B5563"/>
        <w:sz w:val="16"/>
        <w:szCs w:val="16"/>
      </w:rPr>
      <w:t xml:space="preserve">Generated by AI Auditor per Real Rails Quality &amp; UAT Protocol  |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2937" w:sz="4"/>
      </w:pBdr>
      <w:spacing w:after="80"/>
    </w:pPr>
    <w:r>
      <w:rPr>
        <w:rFonts w:ascii="Arial" w:cs="Arial" w:eastAsia="Arial" w:hAnsi="Arial"/>
        <w:b/>
        <w:bCs/>
        <w:color w:val="38BDF8"/>
        <w:sz w:val="18"/>
        <w:szCs w:val="18"/>
      </w:rPr>
      <w:t xml:space="preserve">REAL RAILS — VISUALIZATION AUDIT REPORT (VAR)  |  PoC #24: Submarine Cable Dependency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9CA3A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38BDF8"/>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818CF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2026-04-10T12:15:59.075Z</dcterms:created>
  <dcterms:modified xsi:type="dcterms:W3CDTF">2026-04-10T12:15:59.075Z</dcterms:modified>
</cp:coreProperties>
</file>

<file path=docProps/custom.xml><?xml version="1.0" encoding="utf-8"?>
<Properties xmlns="http://schemas.openxmlformats.org/officeDocument/2006/custom-properties" xmlns:vt="http://schemas.openxmlformats.org/officeDocument/2006/docPropsVTypes"/>
</file>