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20"/>
        </w:rPr>
        <w:t>FINANCE POLICY  |  FIN-PL-2026-01</w:t>
      </w:r>
    </w:p>
    <w:p>
      <w:pPr>
        <w:keepNext/>
        <w:spacing w:after="80"/>
      </w:pPr>
      <w:r>
        <w:rPr>
          <w:rFonts w:ascii="Calibri" w:hAnsi="Calibri"/>
          <w:b/>
          <w:color w:val="18324A"/>
          <w:sz w:val="48"/>
        </w:rPr>
        <w:t>Project Lantern Approval Policy</w:t>
      </w:r>
    </w:p>
    <w:p>
      <w:pPr>
        <w:spacing w:after="280"/>
      </w:pPr>
      <w:r>
        <w:rPr>
          <w:rFonts w:ascii="Calibri" w:hAnsi="Calibri"/>
          <w:color w:val="5F6B76"/>
          <w:sz w:val="25"/>
        </w:rPr>
        <w:t>Financial authorization, reimbursement, procurement, and submission controls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vAlign w:val="center"/>
            <w:shd w:fill="F2F4F7"/>
            <w:tcMar>
              <w:top w:w="80" w:type="dxa"/>
              <w:bottom w:w="80" w:type="dxa"/>
              <w:start w:w="120" w:type="dxa"/>
              <w:end w:w="120" w:type="dxa"/>
            </w:tcMar>
          </w:tcPr>
          <w:p>
            <w:pPr>
              <w:spacing w:after="0" w:line="240" w:lineRule="auto"/>
            </w:pPr>
            <w:r/>
            <w:r>
              <w:rPr>
                <w:rFonts w:ascii="Calibri" w:hAnsi="Calibri"/>
                <w:b/>
                <w:color w:val="1F4D78"/>
                <w:sz w:val="19"/>
              </w:rPr>
              <w:t>Policy owner</w:t>
            </w:r>
          </w:p>
        </w:tc>
        <w:tc>
          <w:tcPr>
            <w:tcW w:type="dxa" w:w="6660"/>
            <w:vAlign w:val="center"/>
            <w:tcMar>
              <w:top w:w="80" w:type="dxa"/>
              <w:bottom w:w="80" w:type="dxa"/>
              <w:start w:w="120" w:type="dxa"/>
              <w:end w:w="120" w:type="dxa"/>
            </w:tcMar>
          </w:tcPr>
          <w:p>
            <w:pPr>
              <w:spacing w:after="0" w:line="240" w:lineRule="auto"/>
            </w:pPr>
            <w:r/>
            <w:r>
              <w:rPr>
                <w:rFonts w:ascii="Calibri" w:hAnsi="Calibri"/>
                <w:b w:val="0"/>
                <w:color w:val="111111"/>
                <w:sz w:val="19"/>
              </w:rPr>
              <w:t>Finance Operations</w:t>
            </w:r>
          </w:p>
        </w:tc>
      </w:tr>
      <w:tr>
        <w:trPr/>
        <w:tc>
          <w:tcPr>
            <w:tcW w:type="dxa" w:w="2700"/>
            <w:vAlign w:val="center"/>
            <w:shd w:fill="F2F4F7"/>
            <w:tcMar>
              <w:top w:w="80" w:type="dxa"/>
              <w:bottom w:w="80" w:type="dxa"/>
              <w:start w:w="120" w:type="dxa"/>
              <w:end w:w="120" w:type="dxa"/>
            </w:tcMar>
          </w:tcPr>
          <w:p>
            <w:pPr>
              <w:spacing w:after="0" w:line="240" w:lineRule="auto"/>
            </w:pPr>
            <w:r/>
            <w:r>
              <w:rPr>
                <w:rFonts w:ascii="Calibri" w:hAnsi="Calibri"/>
                <w:b/>
                <w:color w:val="1F4D78"/>
                <w:sz w:val="19"/>
              </w:rPr>
              <w:t>Approver</w:t>
            </w:r>
          </w:p>
        </w:tc>
        <w:tc>
          <w:tcPr>
            <w:tcW w:type="dxa" w:w="6660"/>
            <w:vAlign w:val="center"/>
            <w:tcMar>
              <w:top w:w="80" w:type="dxa"/>
              <w:bottom w:w="80" w:type="dxa"/>
              <w:start w:w="120" w:type="dxa"/>
              <w:end w:w="120" w:type="dxa"/>
            </w:tcMar>
          </w:tcPr>
          <w:p>
            <w:pPr>
              <w:spacing w:after="0" w:line="240" w:lineRule="auto"/>
            </w:pPr>
            <w:r/>
            <w:r>
              <w:rPr>
                <w:rFonts w:ascii="Calibri" w:hAnsi="Calibri"/>
                <w:b w:val="0"/>
                <w:color w:val="111111"/>
                <w:sz w:val="19"/>
              </w:rPr>
              <w:t>Level-2 Finance Approver</w:t>
            </w:r>
          </w:p>
        </w:tc>
      </w:tr>
      <w:tr>
        <w:trPr/>
        <w:tc>
          <w:tcPr>
            <w:tcW w:type="dxa" w:w="2700"/>
            <w:vAlign w:val="center"/>
            <w:shd w:fill="F2F4F7"/>
            <w:tcMar>
              <w:top w:w="80" w:type="dxa"/>
              <w:bottom w:w="80" w:type="dxa"/>
              <w:start w:w="120" w:type="dxa"/>
              <w:end w:w="120" w:type="dxa"/>
            </w:tcMar>
          </w:tcPr>
          <w:p>
            <w:pPr>
              <w:spacing w:after="0" w:line="240" w:lineRule="auto"/>
            </w:pPr>
            <w:r/>
            <w:r>
              <w:rPr>
                <w:rFonts w:ascii="Calibri" w:hAnsi="Calibri"/>
                <w:b/>
                <w:color w:val="1F4D78"/>
                <w:sz w:val="19"/>
              </w:rPr>
              <w:t>Effective date</w:t>
            </w:r>
          </w:p>
        </w:tc>
        <w:tc>
          <w:tcPr>
            <w:tcW w:type="dxa" w:w="6660"/>
            <w:vAlign w:val="center"/>
            <w:tcMar>
              <w:top w:w="80" w:type="dxa"/>
              <w:bottom w:w="80" w:type="dxa"/>
              <w:start w:w="120" w:type="dxa"/>
              <w:end w:w="120" w:type="dxa"/>
            </w:tcMar>
          </w:tcPr>
          <w:p>
            <w:pPr>
              <w:spacing w:after="0" w:line="240" w:lineRule="auto"/>
            </w:pPr>
            <w:r/>
            <w:r>
              <w:rPr>
                <w:rFonts w:ascii="Calibri" w:hAnsi="Calibri"/>
                <w:b w:val="0"/>
                <w:color w:val="111111"/>
                <w:sz w:val="19"/>
              </w:rPr>
              <w:t>14 August 2026</w:t>
            </w:r>
          </w:p>
        </w:tc>
      </w:tr>
      <w:tr>
        <w:trPr/>
        <w:tc>
          <w:tcPr>
            <w:tcW w:type="dxa" w:w="2700"/>
            <w:vAlign w:val="center"/>
            <w:shd w:fill="F2F4F7"/>
            <w:tcMar>
              <w:top w:w="80" w:type="dxa"/>
              <w:bottom w:w="80" w:type="dxa"/>
              <w:start w:w="120" w:type="dxa"/>
              <w:end w:w="120" w:type="dxa"/>
            </w:tcMar>
          </w:tcPr>
          <w:p>
            <w:pPr>
              <w:spacing w:after="0" w:line="240" w:lineRule="auto"/>
            </w:pPr>
            <w:r/>
            <w:r>
              <w:rPr>
                <w:rFonts w:ascii="Calibri" w:hAnsi="Calibri"/>
                <w:b/>
                <w:color w:val="1F4D78"/>
                <w:sz w:val="19"/>
              </w:rPr>
              <w:t>Review cycle</w:t>
            </w:r>
          </w:p>
        </w:tc>
        <w:tc>
          <w:tcPr>
            <w:tcW w:type="dxa" w:w="6660"/>
            <w:vAlign w:val="center"/>
            <w:tcMar>
              <w:top w:w="80" w:type="dxa"/>
              <w:bottom w:w="80" w:type="dxa"/>
              <w:start w:w="120" w:type="dxa"/>
              <w:end w:w="120" w:type="dxa"/>
            </w:tcMar>
          </w:tcPr>
          <w:p>
            <w:pPr>
              <w:spacing w:after="0" w:line="240" w:lineRule="auto"/>
            </w:pPr>
            <w:r/>
            <w:r>
              <w:rPr>
                <w:rFonts w:ascii="Calibri" w:hAnsi="Calibri"/>
                <w:b w:val="0"/>
                <w:color w:val="111111"/>
                <w:sz w:val="19"/>
              </w:rPr>
              <w:t>Annual</w:t>
            </w:r>
          </w:p>
        </w:tc>
      </w:tr>
      <w:tr>
        <w:trPr/>
        <w:tc>
          <w:tcPr>
            <w:tcW w:type="dxa" w:w="2700"/>
            <w:vAlign w:val="center"/>
            <w:shd w:fill="F2F4F7"/>
            <w:tcMar>
              <w:top w:w="80" w:type="dxa"/>
              <w:bottom w:w="80" w:type="dxa"/>
              <w:start w:w="120" w:type="dxa"/>
              <w:end w:w="120" w:type="dxa"/>
            </w:tcMar>
          </w:tcPr>
          <w:p>
            <w:pPr>
              <w:spacing w:after="0" w:line="240" w:lineRule="auto"/>
            </w:pPr>
            <w:r/>
            <w:r>
              <w:rPr>
                <w:rFonts w:ascii="Calibri" w:hAnsi="Calibri"/>
                <w:b/>
                <w:color w:val="1F4D78"/>
                <w:sz w:val="19"/>
              </w:rPr>
              <w:t>Classification</w:t>
            </w:r>
          </w:p>
        </w:tc>
        <w:tc>
          <w:tcPr>
            <w:tcW w:type="dxa" w:w="6660"/>
            <w:vAlign w:val="center"/>
            <w:tcMar>
              <w:top w:w="80" w:type="dxa"/>
              <w:bottom w:w="80" w:type="dxa"/>
              <w:start w:w="120" w:type="dxa"/>
              <w:end w:w="120" w:type="dxa"/>
            </w:tcMar>
          </w:tcPr>
          <w:p>
            <w:pPr>
              <w:spacing w:after="0" w:line="240" w:lineRule="auto"/>
            </w:pPr>
            <w:r/>
            <w:r>
              <w:rPr>
                <w:rFonts w:ascii="Calibri" w:hAnsi="Calibri"/>
                <w:b w:val="0"/>
                <w:color w:val="111111"/>
                <w:sz w:val="19"/>
              </w:rPr>
              <w:t>Internal</w:t>
            </w:r>
          </w:p>
        </w:tc>
      </w:tr>
    </w:tbl>
    <w:p>
      <w:pPr>
        <w:spacing w:before="160" w:after="240"/>
        <w:ind w:left="259" w:right="259"/>
        <w:shd w:fill="E8EEF5"/>
        <w:pBdr>
          <w:left w:val="single" w:sz="18" w:space="8" w:color="2E74B5"/>
        </w:pBdr>
      </w:pPr>
      <w:r>
        <w:rPr>
          <w:rFonts w:ascii="Calibri" w:hAnsi="Calibri"/>
          <w:b/>
          <w:color w:val="1F4D78"/>
        </w:rPr>
        <w:t xml:space="preserve">POLICY DECISION  </w:t>
      </w:r>
      <w:r>
        <w:rPr>
          <w:rFonts w:ascii="Calibri" w:hAnsi="Calibri"/>
          <w:b/>
        </w:rPr>
        <w:t>Every Project Lantern request requires Level-2 Finance approval before submission or commitment of company funds. The requester must use Form FIN-L2 and receive a recorded approval from Finance Operations.</w:t>
      </w:r>
    </w:p>
    <w:p>
      <w:pPr>
        <w:pStyle w:val="Heading1"/>
        <w:keepNext/>
      </w:pPr>
      <w:r>
        <w:rPr>
          <w:rFonts w:ascii="Calibri" w:hAnsi="Calibri"/>
        </w:rPr>
        <w:t>1. Purpose and finance ownership</w:t>
      </w:r>
    </w:p>
    <w:p>
      <w:r>
        <w:rPr>
          <w:rFonts w:ascii="Calibri" w:hAnsi="Calibri"/>
        </w:rPr>
        <w:t>This policy establishes the Finance approval, expense, reimbursement, procurement, budget, and recordkeeping requirements for Project Lantern. Project Lantern is an internal purchasing initiative administered by Finance Operations. It is not an HR benefit, Legal case-management process, or Tech support request.</w:t>
      </w:r>
    </w:p>
    <w:p>
      <w:r>
        <w:rPr>
          <w:rFonts w:ascii="Calibri" w:hAnsi="Calibri"/>
        </w:rPr>
        <w:t>Finance Operations owns the policy, validates budget availability, confirms the accounting code, and records the approval. No employee, contractor, manager, project lead, or supplier may commit company funds for Project Lantern before Finance approval is complete.</w:t>
      </w:r>
    </w:p>
    <w:p>
      <w:pPr>
        <w:pStyle w:val="Heading1"/>
        <w:keepNext/>
      </w:pPr>
      <w:r>
        <w:rPr>
          <w:rFonts w:ascii="Calibri" w:hAnsi="Calibri"/>
        </w:rPr>
        <w:t>2. Scope</w:t>
      </w:r>
    </w:p>
    <w:p>
      <w:r>
        <w:rPr>
          <w:rFonts w:ascii="Calibri" w:hAnsi="Calibri"/>
        </w:rPr>
        <w:t>This policy applies to employees and contractors requesting a Project Lantern purchase, vendor payment, expense reimbursement, subscription, equipment order, training charge, or other financial commitment. It applies regardless of department, funding source, or transaction value.</w:t>
      </w:r>
    </w:p>
    <w:p>
      <w:pPr>
        <w:pStyle w:val="Heading1"/>
        <w:keepNext/>
      </w:pPr>
      <w:r>
        <w:rPr>
          <w:rFonts w:ascii="Calibri" w:hAnsi="Calibri"/>
        </w:rPr>
        <w:t>3. Required approval and form</w:t>
      </w:r>
    </w:p>
    <w:p>
      <w:r>
        <w:rPr>
          <w:rFonts w:ascii="Calibri" w:hAnsi="Calibri"/>
          <w:b/>
        </w:rPr>
        <w:t>Level-2 approval is mandatory.</w:t>
      </w:r>
      <w:r>
        <w:rPr>
          <w:rFonts w:ascii="Calibri" w:hAnsi="Calibri"/>
        </w:rPr>
        <w:t xml:space="preserve"> Every Project Lantern request must be approved by a Level-2 Finance Approver before the request is submitted to Procurement, before a purchase order is issued, or before an employee incurs an expense.</w:t>
      </w:r>
    </w:p>
    <w:p>
      <w:r>
        <w:rPr>
          <w:rFonts w:ascii="Calibri" w:hAnsi="Calibri"/>
          <w:b/>
        </w:rPr>
        <w:t>Form FIN-L2 is the required submission form.</w:t>
      </w:r>
      <w:r>
        <w:rPr>
          <w:rFonts w:ascii="Calibri" w:hAnsi="Calibri"/>
        </w:rPr>
        <w:t xml:space="preserve"> Email, chat messages, verbal approval, and a manager's signature do not replace the recorded Finance approval in Form FIN-L2. A manager may endorse a business need, but only the Level-2 Finance Approver can authorize the financial commitment.</w:t>
      </w:r>
    </w:p>
    <w:p>
      <w:pPr>
        <w:pStyle w:val="Heading1"/>
        <w:keepNext/>
      </w:pPr>
      <w:r>
        <w:rPr>
          <w:rFonts w:ascii="Calibri" w:hAnsi="Calibri"/>
        </w:rPr>
        <w:t>4. Submission procedure</w:t>
      </w:r>
    </w:p>
    <w:p>
      <w:pPr>
        <w:pStyle w:val="ListNumber"/>
        <w:spacing w:after="160" w:line="280" w:lineRule="auto"/>
        <w:ind w:left="720" w:hanging="360"/>
      </w:pPr>
      <w:r>
        <w:rPr>
          <w:rFonts w:ascii="Calibri" w:hAnsi="Calibri"/>
        </w:rPr>
        <w:t>Complete Form FIN-L2 with the requester, department, business purpose, vendor, estimated amount, cost center, and requested commitment date.</w:t>
      </w:r>
    </w:p>
    <w:p>
      <w:pPr>
        <w:pStyle w:val="ListNumber"/>
        <w:spacing w:after="160" w:line="280" w:lineRule="auto"/>
        <w:ind w:left="720" w:hanging="360"/>
      </w:pPr>
      <w:r>
        <w:rPr>
          <w:rFonts w:ascii="Calibri" w:hAnsi="Calibri"/>
        </w:rPr>
        <w:t>Attach a quote, invoice, price estimate, or other evidence supporting the requested amount. Reimbursements must also include an itemized receipt.</w:t>
      </w:r>
    </w:p>
    <w:p>
      <w:pPr>
        <w:pStyle w:val="ListNumber"/>
        <w:spacing w:after="160" w:line="280" w:lineRule="auto"/>
        <w:ind w:left="720" w:hanging="360"/>
      </w:pPr>
      <w:r>
        <w:rPr>
          <w:rFonts w:ascii="Calibri" w:hAnsi="Calibri"/>
        </w:rPr>
        <w:t>Obtain the budget owner's endorsement and submit the complete package to Finance Operations through the Finance request queue.</w:t>
      </w:r>
    </w:p>
    <w:p>
      <w:pPr>
        <w:pStyle w:val="ListNumber"/>
        <w:spacing w:after="160" w:line="280" w:lineRule="auto"/>
        <w:ind w:left="720" w:hanging="360"/>
      </w:pPr>
      <w:r>
        <w:rPr>
          <w:rFonts w:ascii="Calibri" w:hAnsi="Calibri"/>
        </w:rPr>
        <w:t>Wait for the Level-2 Finance Approver to record Approved, Approved with conditions, or Rejected on Form FIN-L2.</w:t>
      </w:r>
    </w:p>
    <w:p>
      <w:pPr>
        <w:pStyle w:val="ListNumber"/>
        <w:spacing w:after="160" w:line="280" w:lineRule="auto"/>
        <w:ind w:left="720" w:hanging="360"/>
      </w:pPr>
      <w:r>
        <w:rPr>
          <w:rFonts w:ascii="Calibri" w:hAnsi="Calibri"/>
        </w:rPr>
        <w:t>After approval, quote the FIN-L2 approval reference on the purchase order, expense report, reimbursement claim, or vendor-payment request.</w:t>
      </w:r>
    </w:p>
    <w:p>
      <w:pPr>
        <w:pStyle w:val="Heading1"/>
        <w:keepNext/>
      </w:pPr>
      <w:r>
        <w:rPr>
          <w:rFonts w:ascii="Calibri" w:hAnsi="Calibri"/>
        </w:rPr>
        <w:t>5. Approval routing matrix</w:t>
      </w:r>
    </w:p>
    <w:tbl>
      <w:tblPr>
        <w:tblStyle w:val="TableGrid"/>
        <w:tblW w:type="dxa" w:w="9360"/>
        <w:jc w:val="left"/>
        <w:tblLayout w:type="fixed"/>
        <w:tblLook w:firstColumn="1" w:firstRow="1" w:lastColumn="0" w:lastRow="0" w:noHBand="0" w:noVBand="1" w:val="04A0"/>
        <w:tblInd w:type="dxa" w:w="120"/>
      </w:tblPr>
      <w:tblGrid>
        <w:gridCol w:w="2100"/>
        <w:gridCol w:w="2800"/>
        <w:gridCol w:w="2860"/>
        <w:gridCol w:w="1600"/>
      </w:tblGrid>
      <w:tr>
        <w:trPr>
          <w:tblHeader w:val="true"/>
        </w:trPr>
        <w:tc>
          <w:tcPr>
            <w:tcW w:type="dxa" w:w="210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Request</w:t>
            </w:r>
          </w:p>
        </w:tc>
        <w:tc>
          <w:tcPr>
            <w:tcW w:type="dxa" w:w="280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Required evidence</w:t>
            </w:r>
          </w:p>
        </w:tc>
        <w:tc>
          <w:tcPr>
            <w:tcW w:type="dxa" w:w="286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Finance decision</w:t>
            </w:r>
          </w:p>
        </w:tc>
        <w:tc>
          <w:tcPr>
            <w:tcW w:type="dxa" w:w="160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Target time</w:t>
            </w:r>
          </w:p>
        </w:tc>
      </w:tr>
      <w:tr>
        <w:trPr/>
        <w:tc>
          <w:tcPr>
            <w:tcW w:type="dxa" w:w="2100"/>
            <w:vAlign w:val="center"/>
            <w:tcMar>
              <w:top w:w="80" w:type="dxa"/>
              <w:bottom w:w="80" w:type="dxa"/>
              <w:start w:w="120" w:type="dxa"/>
              <w:end w:w="120" w:type="dxa"/>
            </w:tcMar>
          </w:tcPr>
          <w:p>
            <w:pPr>
              <w:spacing w:after="0" w:line="240" w:lineRule="auto"/>
            </w:pPr>
            <w:r/>
            <w:r>
              <w:rPr>
                <w:rFonts w:ascii="Calibri" w:hAnsi="Calibri"/>
                <w:b w:val="0"/>
                <w:color w:val="111111"/>
                <w:sz w:val="19"/>
              </w:rPr>
              <w:t>Purchase or subscription</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111111"/>
                <w:sz w:val="19"/>
              </w:rPr>
              <w:t>FIN-L2, quote, cost center</w:t>
            </w:r>
          </w:p>
        </w:tc>
        <w:tc>
          <w:tcPr>
            <w:tcW w:type="dxa" w:w="2860"/>
            <w:vAlign w:val="center"/>
            <w:tcMar>
              <w:top w:w="80" w:type="dxa"/>
              <w:bottom w:w="80" w:type="dxa"/>
              <w:start w:w="120" w:type="dxa"/>
              <w:end w:w="120" w:type="dxa"/>
            </w:tcMar>
          </w:tcPr>
          <w:p>
            <w:pPr>
              <w:spacing w:after="0" w:line="240" w:lineRule="auto"/>
            </w:pPr>
            <w:r/>
            <w:r>
              <w:rPr>
                <w:rFonts w:ascii="Calibri" w:hAnsi="Calibri"/>
                <w:b w:val="0"/>
                <w:color w:val="111111"/>
                <w:sz w:val="19"/>
              </w:rPr>
              <w:t>Level-2 approval before commitment</w:t>
            </w:r>
          </w:p>
        </w:tc>
        <w:tc>
          <w:tcPr>
            <w:tcW w:type="dxa" w:w="1600"/>
            <w:vAlign w:val="center"/>
            <w:tcMar>
              <w:top w:w="80" w:type="dxa"/>
              <w:bottom w:w="80" w:type="dxa"/>
              <w:start w:w="120" w:type="dxa"/>
              <w:end w:w="120" w:type="dxa"/>
            </w:tcMar>
          </w:tcPr>
          <w:p>
            <w:pPr>
              <w:spacing w:after="0" w:line="240" w:lineRule="auto"/>
            </w:pPr>
            <w:r/>
            <w:r>
              <w:rPr>
                <w:rFonts w:ascii="Calibri" w:hAnsi="Calibri"/>
                <w:b w:val="0"/>
                <w:color w:val="111111"/>
                <w:sz w:val="19"/>
              </w:rPr>
              <w:t>2 business days</w:t>
            </w:r>
          </w:p>
        </w:tc>
      </w:tr>
      <w:tr>
        <w:trPr/>
        <w:tc>
          <w:tcPr>
            <w:tcW w:type="dxa" w:w="2100"/>
            <w:vAlign w:val="center"/>
            <w:tcMar>
              <w:top w:w="80" w:type="dxa"/>
              <w:bottom w:w="80" w:type="dxa"/>
              <w:start w:w="120" w:type="dxa"/>
              <w:end w:w="120" w:type="dxa"/>
            </w:tcMar>
          </w:tcPr>
          <w:p>
            <w:pPr>
              <w:spacing w:after="0" w:line="240" w:lineRule="auto"/>
            </w:pPr>
            <w:r/>
            <w:r>
              <w:rPr>
                <w:rFonts w:ascii="Calibri" w:hAnsi="Calibri"/>
                <w:b w:val="0"/>
                <w:color w:val="111111"/>
                <w:sz w:val="19"/>
              </w:rPr>
              <w:t>Employee reimbursement</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111111"/>
                <w:sz w:val="19"/>
              </w:rPr>
              <w:t>FIN-L2, itemized receipt, purpose</w:t>
            </w:r>
          </w:p>
        </w:tc>
        <w:tc>
          <w:tcPr>
            <w:tcW w:type="dxa" w:w="2860"/>
            <w:vAlign w:val="center"/>
            <w:tcMar>
              <w:top w:w="80" w:type="dxa"/>
              <w:bottom w:w="80" w:type="dxa"/>
              <w:start w:w="120" w:type="dxa"/>
              <w:end w:w="120" w:type="dxa"/>
            </w:tcMar>
          </w:tcPr>
          <w:p>
            <w:pPr>
              <w:spacing w:after="0" w:line="240" w:lineRule="auto"/>
            </w:pPr>
            <w:r/>
            <w:r>
              <w:rPr>
                <w:rFonts w:ascii="Calibri" w:hAnsi="Calibri"/>
                <w:b w:val="0"/>
                <w:color w:val="111111"/>
                <w:sz w:val="19"/>
              </w:rPr>
              <w:t>Level-2 approval before claim</w:t>
            </w:r>
          </w:p>
        </w:tc>
        <w:tc>
          <w:tcPr>
            <w:tcW w:type="dxa" w:w="1600"/>
            <w:vAlign w:val="center"/>
            <w:tcMar>
              <w:top w:w="80" w:type="dxa"/>
              <w:bottom w:w="80" w:type="dxa"/>
              <w:start w:w="120" w:type="dxa"/>
              <w:end w:w="120" w:type="dxa"/>
            </w:tcMar>
          </w:tcPr>
          <w:p>
            <w:pPr>
              <w:spacing w:after="0" w:line="240" w:lineRule="auto"/>
            </w:pPr>
            <w:r/>
            <w:r>
              <w:rPr>
                <w:rFonts w:ascii="Calibri" w:hAnsi="Calibri"/>
                <w:b w:val="0"/>
                <w:color w:val="111111"/>
                <w:sz w:val="19"/>
              </w:rPr>
              <w:t>3 business days</w:t>
            </w:r>
          </w:p>
        </w:tc>
      </w:tr>
      <w:tr>
        <w:trPr/>
        <w:tc>
          <w:tcPr>
            <w:tcW w:type="dxa" w:w="2100"/>
            <w:vAlign w:val="center"/>
            <w:tcMar>
              <w:top w:w="80" w:type="dxa"/>
              <w:bottom w:w="80" w:type="dxa"/>
              <w:start w:w="120" w:type="dxa"/>
              <w:end w:w="120" w:type="dxa"/>
            </w:tcMar>
          </w:tcPr>
          <w:p>
            <w:pPr>
              <w:spacing w:after="0" w:line="240" w:lineRule="auto"/>
            </w:pPr>
            <w:r/>
            <w:r>
              <w:rPr>
                <w:rFonts w:ascii="Calibri" w:hAnsi="Calibri"/>
                <w:b w:val="0"/>
                <w:color w:val="111111"/>
                <w:sz w:val="19"/>
              </w:rPr>
              <w:t>Vendor payment</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111111"/>
                <w:sz w:val="19"/>
              </w:rPr>
              <w:t>FIN-L2, invoice, purchase reference</w:t>
            </w:r>
          </w:p>
        </w:tc>
        <w:tc>
          <w:tcPr>
            <w:tcW w:type="dxa" w:w="2860"/>
            <w:vAlign w:val="center"/>
            <w:tcMar>
              <w:top w:w="80" w:type="dxa"/>
              <w:bottom w:w="80" w:type="dxa"/>
              <w:start w:w="120" w:type="dxa"/>
              <w:end w:w="120" w:type="dxa"/>
            </w:tcMar>
          </w:tcPr>
          <w:p>
            <w:pPr>
              <w:spacing w:after="0" w:line="240" w:lineRule="auto"/>
            </w:pPr>
            <w:r/>
            <w:r>
              <w:rPr>
                <w:rFonts w:ascii="Calibri" w:hAnsi="Calibri"/>
                <w:b w:val="0"/>
                <w:color w:val="111111"/>
                <w:sz w:val="19"/>
              </w:rPr>
              <w:t>Level-2 approval before payment</w:t>
            </w:r>
          </w:p>
        </w:tc>
        <w:tc>
          <w:tcPr>
            <w:tcW w:type="dxa" w:w="1600"/>
            <w:vAlign w:val="center"/>
            <w:tcMar>
              <w:top w:w="80" w:type="dxa"/>
              <w:bottom w:w="80" w:type="dxa"/>
              <w:start w:w="120" w:type="dxa"/>
              <w:end w:w="120" w:type="dxa"/>
            </w:tcMar>
          </w:tcPr>
          <w:p>
            <w:pPr>
              <w:spacing w:after="0" w:line="240" w:lineRule="auto"/>
            </w:pPr>
            <w:r/>
            <w:r>
              <w:rPr>
                <w:rFonts w:ascii="Calibri" w:hAnsi="Calibri"/>
                <w:b w:val="0"/>
                <w:color w:val="111111"/>
                <w:sz w:val="19"/>
              </w:rPr>
              <w:t>2 business days</w:t>
            </w:r>
          </w:p>
        </w:tc>
      </w:tr>
      <w:tr>
        <w:trPr/>
        <w:tc>
          <w:tcPr>
            <w:tcW w:type="dxa" w:w="2100"/>
            <w:vAlign w:val="center"/>
            <w:tcMar>
              <w:top w:w="80" w:type="dxa"/>
              <w:bottom w:w="80" w:type="dxa"/>
              <w:start w:w="120" w:type="dxa"/>
              <w:end w:w="120" w:type="dxa"/>
            </w:tcMar>
          </w:tcPr>
          <w:p>
            <w:pPr>
              <w:spacing w:after="0" w:line="240" w:lineRule="auto"/>
            </w:pPr>
            <w:r/>
            <w:r>
              <w:rPr>
                <w:rFonts w:ascii="Calibri" w:hAnsi="Calibri"/>
                <w:b w:val="0"/>
                <w:color w:val="111111"/>
                <w:sz w:val="19"/>
              </w:rPr>
              <w:t>Urgent exception</w:t>
            </w:r>
          </w:p>
        </w:tc>
        <w:tc>
          <w:tcPr>
            <w:tcW w:type="dxa" w:w="2800"/>
            <w:vAlign w:val="center"/>
            <w:tcMar>
              <w:top w:w="80" w:type="dxa"/>
              <w:bottom w:w="80" w:type="dxa"/>
              <w:start w:w="120" w:type="dxa"/>
              <w:end w:w="120" w:type="dxa"/>
            </w:tcMar>
          </w:tcPr>
          <w:p>
            <w:pPr>
              <w:spacing w:after="0" w:line="240" w:lineRule="auto"/>
            </w:pPr>
            <w:r/>
            <w:r>
              <w:rPr>
                <w:rFonts w:ascii="Calibri" w:hAnsi="Calibri"/>
                <w:b w:val="0"/>
                <w:color w:val="111111"/>
                <w:sz w:val="19"/>
              </w:rPr>
              <w:t>FIN-L2, urgency rationale, evidence</w:t>
            </w:r>
          </w:p>
        </w:tc>
        <w:tc>
          <w:tcPr>
            <w:tcW w:type="dxa" w:w="2860"/>
            <w:vAlign w:val="center"/>
            <w:tcMar>
              <w:top w:w="80" w:type="dxa"/>
              <w:bottom w:w="80" w:type="dxa"/>
              <w:start w:w="120" w:type="dxa"/>
              <w:end w:w="120" w:type="dxa"/>
            </w:tcMar>
          </w:tcPr>
          <w:p>
            <w:pPr>
              <w:spacing w:after="0" w:line="240" w:lineRule="auto"/>
            </w:pPr>
            <w:r/>
            <w:r>
              <w:rPr>
                <w:rFonts w:ascii="Calibri" w:hAnsi="Calibri"/>
                <w:b w:val="0"/>
                <w:color w:val="111111"/>
                <w:sz w:val="19"/>
              </w:rPr>
              <w:t>Level-2 written exception</w:t>
            </w:r>
          </w:p>
        </w:tc>
        <w:tc>
          <w:tcPr>
            <w:tcW w:type="dxa" w:w="1600"/>
            <w:vAlign w:val="center"/>
            <w:tcMar>
              <w:top w:w="80" w:type="dxa"/>
              <w:bottom w:w="80" w:type="dxa"/>
              <w:start w:w="120" w:type="dxa"/>
              <w:end w:w="120" w:type="dxa"/>
            </w:tcMar>
          </w:tcPr>
          <w:p>
            <w:pPr>
              <w:spacing w:after="0" w:line="240" w:lineRule="auto"/>
            </w:pPr>
            <w:r/>
            <w:r>
              <w:rPr>
                <w:rFonts w:ascii="Calibri" w:hAnsi="Calibri"/>
                <w:b w:val="0"/>
                <w:color w:val="111111"/>
                <w:sz w:val="19"/>
              </w:rPr>
              <w:t>Best effort</w:t>
            </w:r>
          </w:p>
        </w:tc>
      </w:tr>
    </w:tbl>
    <w:p>
      <w:pPr>
        <w:pStyle w:val="Heading1"/>
        <w:keepNext/>
      </w:pPr>
      <w:r>
        <w:rPr>
          <w:rFonts w:ascii="Calibri" w:hAnsi="Calibri"/>
        </w:rPr>
        <w:t>6. Financial controls</w:t>
      </w:r>
    </w:p>
    <w:p>
      <w:pPr>
        <w:pStyle w:val="ListBullet"/>
        <w:spacing w:after="160" w:line="280" w:lineRule="auto"/>
        <w:ind w:left="720" w:hanging="360"/>
      </w:pPr>
      <w:r>
        <w:rPr>
          <w:rFonts w:ascii="Calibri" w:hAnsi="Calibri"/>
        </w:rPr>
        <w:t>A request may not be split into smaller transactions to avoid approval or procurement review.</w:t>
      </w:r>
    </w:p>
    <w:p>
      <w:pPr>
        <w:pStyle w:val="ListBullet"/>
        <w:spacing w:after="160" w:line="280" w:lineRule="auto"/>
        <w:ind w:left="720" w:hanging="360"/>
      </w:pPr>
      <w:r>
        <w:rPr>
          <w:rFonts w:ascii="Calibri" w:hAnsi="Calibri"/>
        </w:rPr>
        <w:t>Approval confirms authorization only up to the amount recorded on Form FIN-L2. An increase greater than 10 percent requires a revised approval.</w:t>
      </w:r>
    </w:p>
    <w:p>
      <w:pPr>
        <w:pStyle w:val="ListBullet"/>
        <w:spacing w:after="160" w:line="280" w:lineRule="auto"/>
        <w:ind w:left="720" w:hanging="360"/>
      </w:pPr>
      <w:r>
        <w:rPr>
          <w:rFonts w:ascii="Calibri" w:hAnsi="Calibri"/>
        </w:rPr>
        <w:t>Finance may reject a request when budget is unavailable, documentation is incomplete, the accounting code is invalid, or the expense lacks a business purpose.</w:t>
      </w:r>
    </w:p>
    <w:p>
      <w:pPr>
        <w:pStyle w:val="ListBullet"/>
        <w:spacing w:after="160" w:line="280" w:lineRule="auto"/>
        <w:ind w:left="720" w:hanging="360"/>
      </w:pPr>
      <w:r>
        <w:rPr>
          <w:rFonts w:ascii="Calibri" w:hAnsi="Calibri"/>
        </w:rPr>
        <w:t>Procurement and Accounts Payable must retain the FIN-L2 reference with the transaction record for audit and reconciliation.</w:t>
      </w:r>
    </w:p>
    <w:p>
      <w:pPr>
        <w:pStyle w:val="Heading1"/>
        <w:keepNext/>
      </w:pPr>
      <w:r>
        <w:rPr>
          <w:rFonts w:ascii="Calibri" w:hAnsi="Calibri"/>
        </w:rPr>
        <w:t>7. Exceptions and noncompliance</w:t>
      </w:r>
    </w:p>
    <w:p>
      <w:r>
        <w:rPr>
          <w:rFonts w:ascii="Calibri" w:hAnsi="Calibri"/>
        </w:rPr>
        <w:t>An urgent operational need does not remove the Level-2 approval requirement. The requester must mark Form FIN-L2 as Urgent and explain the deadline and financial impact. Only a Level-2 Finance Approver may grant an exception, and the written exception must be attached to the transaction record.</w:t>
      </w:r>
    </w:p>
    <w:p>
      <w:r>
        <w:rPr>
          <w:rFonts w:ascii="Calibri" w:hAnsi="Calibri"/>
        </w:rPr>
        <w:t>A purchase or expense incurred without approval may be rejected, returned to the requester, charged back to the department, or escalated to the Finance Controller. Repeated noncompliance may result in suspension of purchasing or expense privileges.</w:t>
      </w:r>
    </w:p>
    <w:p>
      <w:pPr>
        <w:pStyle w:val="Heading1"/>
        <w:keepNext/>
      </w:pPr>
      <w:r>
        <w:rPr>
          <w:rFonts w:ascii="Calibri" w:hAnsi="Calibri"/>
        </w:rPr>
        <w:t>8. Roles and responsibilities</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trPr>
        <w:tc>
          <w:tcPr>
            <w:tcW w:type="dxa" w:w="260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Role</w:t>
            </w:r>
          </w:p>
        </w:tc>
        <w:tc>
          <w:tcPr>
            <w:tcW w:type="dxa" w:w="6760"/>
            <w:vAlign w:val="center"/>
            <w:shd w:fill="2E74B5"/>
            <w:tcMar>
              <w:top w:w="80" w:type="dxa"/>
              <w:bottom w:w="80" w:type="dxa"/>
              <w:start w:w="120" w:type="dxa"/>
              <w:end w:w="120" w:type="dxa"/>
            </w:tcMar>
          </w:tcPr>
          <w:p>
            <w:pPr>
              <w:spacing w:after="0" w:line="240" w:lineRule="auto"/>
            </w:pPr>
            <w:r/>
            <w:r>
              <w:rPr>
                <w:rFonts w:ascii="Calibri" w:hAnsi="Calibri"/>
                <w:b/>
                <w:color w:val="FFFFFF"/>
                <w:sz w:val="19"/>
              </w:rPr>
              <w:t>Responsibility</w:t>
            </w:r>
          </w:p>
        </w:tc>
      </w:tr>
      <w:tr>
        <w:trPr/>
        <w:tc>
          <w:tcPr>
            <w:tcW w:type="dxa" w:w="2600"/>
            <w:vAlign w:val="center"/>
            <w:tcMar>
              <w:top w:w="80" w:type="dxa"/>
              <w:bottom w:w="80" w:type="dxa"/>
              <w:start w:w="120" w:type="dxa"/>
              <w:end w:w="120" w:type="dxa"/>
            </w:tcMar>
          </w:tcPr>
          <w:p>
            <w:pPr>
              <w:spacing w:after="0" w:line="240" w:lineRule="auto"/>
            </w:pPr>
            <w:r/>
            <w:r>
              <w:rPr>
                <w:rFonts w:ascii="Calibri" w:hAnsi="Calibri"/>
                <w:b w:val="0"/>
                <w:color w:val="111111"/>
                <w:sz w:val="19"/>
              </w:rPr>
              <w:t>Requester</w:t>
            </w:r>
          </w:p>
        </w:tc>
        <w:tc>
          <w:tcPr>
            <w:tcW w:type="dxa" w:w="6760"/>
            <w:vAlign w:val="center"/>
            <w:tcMar>
              <w:top w:w="80" w:type="dxa"/>
              <w:bottom w:w="80" w:type="dxa"/>
              <w:start w:w="120" w:type="dxa"/>
              <w:end w:w="120" w:type="dxa"/>
            </w:tcMar>
          </w:tcPr>
          <w:p>
            <w:pPr>
              <w:spacing w:after="0" w:line="240" w:lineRule="auto"/>
            </w:pPr>
            <w:r/>
            <w:r>
              <w:rPr>
                <w:rFonts w:ascii="Calibri" w:hAnsi="Calibri"/>
                <w:b w:val="0"/>
                <w:color w:val="111111"/>
                <w:sz w:val="19"/>
              </w:rPr>
              <w:t>Completes FIN-L2 and supplies accurate supporting evidence.</w:t>
            </w:r>
          </w:p>
        </w:tc>
      </w:tr>
      <w:tr>
        <w:trPr/>
        <w:tc>
          <w:tcPr>
            <w:tcW w:type="dxa" w:w="2600"/>
            <w:vAlign w:val="center"/>
            <w:tcMar>
              <w:top w:w="80" w:type="dxa"/>
              <w:bottom w:w="80" w:type="dxa"/>
              <w:start w:w="120" w:type="dxa"/>
              <w:end w:w="120" w:type="dxa"/>
            </w:tcMar>
          </w:tcPr>
          <w:p>
            <w:pPr>
              <w:spacing w:after="0" w:line="240" w:lineRule="auto"/>
            </w:pPr>
            <w:r/>
            <w:r>
              <w:rPr>
                <w:rFonts w:ascii="Calibri" w:hAnsi="Calibri"/>
                <w:b w:val="0"/>
                <w:color w:val="111111"/>
                <w:sz w:val="19"/>
              </w:rPr>
              <w:t>Budget owner</w:t>
            </w:r>
          </w:p>
        </w:tc>
        <w:tc>
          <w:tcPr>
            <w:tcW w:type="dxa" w:w="6760"/>
            <w:vAlign w:val="center"/>
            <w:tcMar>
              <w:top w:w="80" w:type="dxa"/>
              <w:bottom w:w="80" w:type="dxa"/>
              <w:start w:w="120" w:type="dxa"/>
              <w:end w:w="120" w:type="dxa"/>
            </w:tcMar>
          </w:tcPr>
          <w:p>
            <w:pPr>
              <w:spacing w:after="0" w:line="240" w:lineRule="auto"/>
            </w:pPr>
            <w:r/>
            <w:r>
              <w:rPr>
                <w:rFonts w:ascii="Calibri" w:hAnsi="Calibri"/>
                <w:b w:val="0"/>
                <w:color w:val="111111"/>
                <w:sz w:val="19"/>
              </w:rPr>
              <w:t>Confirms business need and available departmental budget.</w:t>
            </w:r>
          </w:p>
        </w:tc>
      </w:tr>
      <w:tr>
        <w:trPr/>
        <w:tc>
          <w:tcPr>
            <w:tcW w:type="dxa" w:w="2600"/>
            <w:vAlign w:val="center"/>
            <w:tcMar>
              <w:top w:w="80" w:type="dxa"/>
              <w:bottom w:w="80" w:type="dxa"/>
              <w:start w:w="120" w:type="dxa"/>
              <w:end w:w="120" w:type="dxa"/>
            </w:tcMar>
          </w:tcPr>
          <w:p>
            <w:pPr>
              <w:spacing w:after="0" w:line="240" w:lineRule="auto"/>
            </w:pPr>
            <w:r/>
            <w:r>
              <w:rPr>
                <w:rFonts w:ascii="Calibri" w:hAnsi="Calibri"/>
                <w:b w:val="0"/>
                <w:color w:val="111111"/>
                <w:sz w:val="19"/>
              </w:rPr>
              <w:t>Finance Operations</w:t>
            </w:r>
          </w:p>
        </w:tc>
        <w:tc>
          <w:tcPr>
            <w:tcW w:type="dxa" w:w="6760"/>
            <w:vAlign w:val="center"/>
            <w:tcMar>
              <w:top w:w="80" w:type="dxa"/>
              <w:bottom w:w="80" w:type="dxa"/>
              <w:start w:w="120" w:type="dxa"/>
              <w:end w:w="120" w:type="dxa"/>
            </w:tcMar>
          </w:tcPr>
          <w:p>
            <w:pPr>
              <w:spacing w:after="0" w:line="240" w:lineRule="auto"/>
            </w:pPr>
            <w:r/>
            <w:r>
              <w:rPr>
                <w:rFonts w:ascii="Calibri" w:hAnsi="Calibri"/>
                <w:b w:val="0"/>
                <w:color w:val="111111"/>
                <w:sz w:val="19"/>
              </w:rPr>
              <w:t>Validates coding, documentation, and policy compliance.</w:t>
            </w:r>
          </w:p>
        </w:tc>
      </w:tr>
      <w:tr>
        <w:trPr/>
        <w:tc>
          <w:tcPr>
            <w:tcW w:type="dxa" w:w="2600"/>
            <w:vAlign w:val="center"/>
            <w:tcMar>
              <w:top w:w="80" w:type="dxa"/>
              <w:bottom w:w="80" w:type="dxa"/>
              <w:start w:w="120" w:type="dxa"/>
              <w:end w:w="120" w:type="dxa"/>
            </w:tcMar>
          </w:tcPr>
          <w:p>
            <w:pPr>
              <w:spacing w:after="0" w:line="240" w:lineRule="auto"/>
            </w:pPr>
            <w:r/>
            <w:r>
              <w:rPr>
                <w:rFonts w:ascii="Calibri" w:hAnsi="Calibri"/>
                <w:b w:val="0"/>
                <w:color w:val="111111"/>
                <w:sz w:val="19"/>
              </w:rPr>
              <w:t>Level-2 Finance Approver</w:t>
            </w:r>
          </w:p>
        </w:tc>
        <w:tc>
          <w:tcPr>
            <w:tcW w:type="dxa" w:w="6760"/>
            <w:vAlign w:val="center"/>
            <w:tcMar>
              <w:top w:w="80" w:type="dxa"/>
              <w:bottom w:w="80" w:type="dxa"/>
              <w:start w:w="120" w:type="dxa"/>
              <w:end w:w="120" w:type="dxa"/>
            </w:tcMar>
          </w:tcPr>
          <w:p>
            <w:pPr>
              <w:spacing w:after="0" w:line="240" w:lineRule="auto"/>
            </w:pPr>
            <w:r/>
            <w:r>
              <w:rPr>
                <w:rFonts w:ascii="Calibri" w:hAnsi="Calibri"/>
                <w:b w:val="0"/>
                <w:color w:val="111111"/>
                <w:sz w:val="19"/>
              </w:rPr>
              <w:t>Makes and records the final authorization decision.</w:t>
            </w:r>
          </w:p>
        </w:tc>
      </w:tr>
      <w:tr>
        <w:trPr/>
        <w:tc>
          <w:tcPr>
            <w:tcW w:type="dxa" w:w="2600"/>
            <w:vAlign w:val="center"/>
            <w:tcMar>
              <w:top w:w="80" w:type="dxa"/>
              <w:bottom w:w="80" w:type="dxa"/>
              <w:start w:w="120" w:type="dxa"/>
              <w:end w:w="120" w:type="dxa"/>
            </w:tcMar>
          </w:tcPr>
          <w:p>
            <w:pPr>
              <w:spacing w:after="0" w:line="240" w:lineRule="auto"/>
            </w:pPr>
            <w:r/>
            <w:r>
              <w:rPr>
                <w:rFonts w:ascii="Calibri" w:hAnsi="Calibri"/>
                <w:b w:val="0"/>
                <w:color w:val="111111"/>
                <w:sz w:val="19"/>
              </w:rPr>
              <w:t>Procurement / Accounts Payable</w:t>
            </w:r>
          </w:p>
        </w:tc>
        <w:tc>
          <w:tcPr>
            <w:tcW w:type="dxa" w:w="6760"/>
            <w:vAlign w:val="center"/>
            <w:tcMar>
              <w:top w:w="80" w:type="dxa"/>
              <w:bottom w:w="80" w:type="dxa"/>
              <w:start w:w="120" w:type="dxa"/>
              <w:end w:w="120" w:type="dxa"/>
            </w:tcMar>
          </w:tcPr>
          <w:p>
            <w:pPr>
              <w:spacing w:after="0" w:line="240" w:lineRule="auto"/>
            </w:pPr>
            <w:r/>
            <w:r>
              <w:rPr>
                <w:rFonts w:ascii="Calibri" w:hAnsi="Calibri"/>
                <w:b w:val="0"/>
                <w:color w:val="111111"/>
                <w:sz w:val="19"/>
              </w:rPr>
              <w:t>Processes only transactions carrying a valid FIN-L2 reference.</w:t>
            </w:r>
          </w:p>
        </w:tc>
      </w:tr>
    </w:tbl>
    <w:p>
      <w:pPr>
        <w:pStyle w:val="Heading1"/>
        <w:keepNext/>
      </w:pPr>
      <w:r>
        <w:rPr>
          <w:rFonts w:ascii="Calibri" w:hAnsi="Calibri"/>
        </w:rPr>
        <w:t>9. Frequently asked questions</w:t>
      </w:r>
    </w:p>
    <w:p>
      <w:pPr>
        <w:pStyle w:val="Heading2"/>
        <w:keepNext/>
      </w:pPr>
      <w:r>
        <w:rPr>
          <w:rFonts w:ascii="Calibri" w:hAnsi="Calibri"/>
        </w:rPr>
        <w:t>Does a Project Lantern request need Level-2 approval?</w:t>
      </w:r>
    </w:p>
    <w:p>
      <w:r>
        <w:rPr>
          <w:rFonts w:ascii="Calibri" w:hAnsi="Calibri"/>
        </w:rPr>
        <w:t>Yes. Every Project Lantern request requires Level-2 Finance approval before submission or commitment of company funds. The requester must complete Form FIN-L2 and retain the approval reference with the transaction.</w:t>
      </w:r>
    </w:p>
    <w:p>
      <w:pPr>
        <w:pStyle w:val="Heading2"/>
        <w:keepNext/>
      </w:pPr>
      <w:r>
        <w:rPr>
          <w:rFonts w:ascii="Calibri" w:hAnsi="Calibri"/>
        </w:rPr>
        <w:t>Does manager approval satisfy the requirement?</w:t>
      </w:r>
    </w:p>
    <w:p>
      <w:r>
        <w:rPr>
          <w:rFonts w:ascii="Calibri" w:hAnsi="Calibri"/>
        </w:rPr>
        <w:t>No. A manager or budget owner may endorse the business need, but that endorsement does not replace the Level-2 Finance approval recorded on Form FIN-L2.</w:t>
      </w:r>
    </w:p>
    <w:p>
      <w:pPr>
        <w:pStyle w:val="Heading2"/>
        <w:keepNext/>
      </w:pPr>
      <w:r>
        <w:rPr>
          <w:rFonts w:ascii="Calibri" w:hAnsi="Calibri"/>
        </w:rPr>
        <w:t>Is approval required for a low-value request?</w:t>
      </w:r>
    </w:p>
    <w:p>
      <w:r>
        <w:rPr>
          <w:rFonts w:ascii="Calibri" w:hAnsi="Calibri"/>
        </w:rPr>
        <w:t>Yes. The requirement applies to every Project Lantern transaction regardless of value. The policy does not provide a low-value exemption.</w:t>
      </w:r>
    </w:p>
    <w:p>
      <w:pPr>
        <w:pStyle w:val="Heading1"/>
        <w:keepNext/>
      </w:pPr>
      <w:r>
        <w:rPr>
          <w:rFonts w:ascii="Calibri" w:hAnsi="Calibri"/>
        </w:rPr>
        <w:t>10. Records and contact</w:t>
      </w:r>
    </w:p>
    <w:p>
      <w:r>
        <w:rPr>
          <w:rFonts w:ascii="Calibri" w:hAnsi="Calibri"/>
        </w:rPr>
        <w:t>Finance Operations retains approved forms and supporting evidence according to the corporate financial-record retention schedule. Questions about Form FIN-L2, budget coding, reimbursement, procurement, invoices, or Project Lantern approval should be submitted to the Finance Operations request queue.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B76"/>
        <w:sz w:val="18"/>
      </w:rPr>
      <w:t>FINANCE OPERATIONS  |  PROJECT LANTERN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Lantern Approval Policy</dc:title>
  <dc:subject>Finance approval and submission controls</dc:subject>
  <dc:creator>Finance Operations</dc:creator>
  <cp:keywords>Finance, approval, reimbursement, procurement, FIN-L2</cp:keywords>
  <dc:description>generated by python-docx</dc:description>
  <cp:lastModifiedBy/>
  <cp:revision>1</cp:revision>
  <dcterms:created xsi:type="dcterms:W3CDTF">2013-12-23T23:15:00Z</dcterms:created>
  <dcterms:modified xsi:type="dcterms:W3CDTF">2013-12-23T23:15:00Z</dcterms:modified>
  <cp:category/>
</cp:coreProperties>
</file>