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pPr>
      <w:r>
        <w:rPr>
          <w:rFonts w:ascii="Calibri" w:hAnsi="Calibri"/>
          <w:b/>
          <w:color w:val="0B2545"/>
          <w:sz w:val="44"/>
        </w:rPr>
        <w:t>Legal Addendum: Salary Data NDA and Confidentiality Controls</w:t>
      </w:r>
    </w:p>
    <w:p>
      <w:pPr>
        <w:spacing w:after="280"/>
      </w:pPr>
      <w:r>
        <w:rPr>
          <w:rFonts w:ascii="Calibri" w:hAnsi="Calibri"/>
          <w:b w:val="0"/>
          <w:color w:val="64748B"/>
          <w:sz w:val="22"/>
        </w:rPr>
        <w:t>Contractual confidentiality, permitted access, and approved safeguards</w:t>
      </w:r>
    </w:p>
    <w:p>
      <w:pPr>
        <w:spacing w:before="40" w:after="240"/>
        <w:ind w:left="259" w:right="259"/>
        <w:shd w:fill="E8EEF5"/>
      </w:pPr>
      <w:r>
        <w:rPr>
          <w:rFonts w:ascii="Calibri" w:hAnsi="Calibri"/>
          <w:b/>
          <w:color w:val="0B2545"/>
          <w:sz w:val="22"/>
        </w:rPr>
        <w:t xml:space="preserve">Legal determination: No. </w:t>
      </w:r>
      <w:r>
        <w:rPr>
          <w:rFonts w:ascii="Calibri" w:hAnsi="Calibri"/>
          <w:b w:val="0"/>
          <w:color w:val="0B2545"/>
          <w:sz w:val="22"/>
        </w:rPr>
        <w:t>A salary-data NDA is a confidentiality agreement governing non-public compensation information. It does not itself require VPN expense approval. The legal obligation is to protect confidential information and use only company-approved safeguards; purchase approval is a separate process.</w:t>
      </w:r>
    </w:p>
    <w:p>
      <w:pPr>
        <w:pStyle w:val="Heading1"/>
      </w:pPr>
      <w:r>
        <w:t>Purpose</w:t>
      </w:r>
    </w:p>
    <w:p>
      <w:r>
        <w:t>This Legal addendum defines contractual confidentiality duties for employees, contractors, and advisers who receive non-public salary, payroll, compensation, or employee-level pay information. It supplements the company's NDA and data protection terms. Legal owns interpretation of this addendum, including its confidential-information definition, permitted-use limits, disclosure rules, survival period, and remedies for breach.</w:t>
      </w:r>
    </w:p>
    <w:p>
      <w:pPr>
        <w:pStyle w:val="Heading1"/>
      </w:pPr>
      <w:r>
        <w:t>Confidential information and NDA obligations</w:t>
      </w:r>
    </w:p>
    <w:p>
      <w:pPr>
        <w:pStyle w:val="ListBullet"/>
        <w:spacing w:after="120" w:line="264" w:lineRule="auto"/>
      </w:pPr>
      <w:r>
        <w:rPr>
          <w:rFonts w:ascii="Calibri" w:hAnsi="Calibri"/>
          <w:b w:val="0"/>
          <w:color w:val="222222"/>
          <w:sz w:val="22"/>
        </w:rPr>
        <w:t>Confidential Information includes non-public salary bands, individual pay, payroll records, bonus decisions, compensation forecasts, employee identifiers, access credentials, and analyses derived from that information.</w:t>
      </w:r>
    </w:p>
    <w:p>
      <w:pPr>
        <w:pStyle w:val="ListBullet"/>
        <w:spacing w:after="120" w:line="264" w:lineRule="auto"/>
      </w:pPr>
      <w:r>
        <w:rPr>
          <w:rFonts w:ascii="Calibri" w:hAnsi="Calibri"/>
          <w:b w:val="0"/>
          <w:color w:val="222222"/>
          <w:sz w:val="22"/>
        </w:rPr>
        <w:t>A recipient may use Confidential Information only for the authorized business purpose stated by the disclosing party and may disclose it only to people who have a need to know and are bound by equivalent confidentiality duties.</w:t>
      </w:r>
    </w:p>
    <w:p>
      <w:pPr>
        <w:pStyle w:val="ListBullet"/>
        <w:spacing w:after="120" w:line="264" w:lineRule="auto"/>
      </w:pPr>
      <w:r>
        <w:rPr>
          <w:rFonts w:ascii="Calibri" w:hAnsi="Calibri"/>
          <w:b w:val="0"/>
          <w:color w:val="222222"/>
          <w:sz w:val="22"/>
        </w:rPr>
        <w:t>The recipient must apply reasonable security safeguards, must not place salary data in public AI services or unapproved systems, and must promptly report suspected unauthorized access or disclosure to Legal and Security.</w:t>
      </w:r>
    </w:p>
    <w:p>
      <w:pPr>
        <w:pStyle w:val="ListBullet"/>
        <w:spacing w:after="120" w:line="264" w:lineRule="auto"/>
      </w:pPr>
      <w:r>
        <w:rPr>
          <w:rFonts w:ascii="Calibri" w:hAnsi="Calibri"/>
          <w:b w:val="0"/>
          <w:color w:val="222222"/>
          <w:sz w:val="22"/>
        </w:rPr>
        <w:t>These confidentiality obligations survive termination of access or employment for the period stated in the controlling NDA. A breach may result in access revocation, disciplinary action, contractual remedies, or legal action.</w:t>
      </w:r>
    </w:p>
    <w:p>
      <w:pPr>
        <w:pStyle w:val="Heading1"/>
      </w:pPr>
      <w:r>
        <w:t>Legal approval matrix</w:t>
      </w:r>
    </w:p>
    <w:p>
      <w:pPr>
        <w:spacing w:after="100"/>
      </w:pPr>
      <w:r>
        <w:rPr>
          <w:rFonts w:ascii="Calibri" w:hAnsi="Calibri"/>
          <w:b/>
          <w:color w:val="1F4D78"/>
          <w:sz w:val="22"/>
        </w:rPr>
        <w:t xml:space="preserve">Salary-data NDA. </w:t>
      </w:r>
      <w:r>
        <w:rPr>
          <w:rFonts w:ascii="Calibri" w:hAnsi="Calibri"/>
          <w:b w:val="0"/>
          <w:color w:val="222222"/>
          <w:sz w:val="22"/>
        </w:rPr>
        <w:t>Legal or the designated information owner confirms the NDA before confidential compensation information is disclosed.</w:t>
      </w:r>
    </w:p>
    <w:p>
      <w:pPr>
        <w:spacing w:after="100"/>
      </w:pPr>
      <w:r>
        <w:rPr>
          <w:rFonts w:ascii="Calibri" w:hAnsi="Calibri"/>
          <w:b/>
          <w:color w:val="1F4D78"/>
          <w:sz w:val="22"/>
        </w:rPr>
        <w:t xml:space="preserve">VPN access. </w:t>
      </w:r>
      <w:r>
        <w:rPr>
          <w:rFonts w:ascii="Calibri" w:hAnsi="Calibri"/>
          <w:b w:val="0"/>
          <w:color w:val="222222"/>
          <w:sz w:val="22"/>
        </w:rPr>
        <w:t>The manager and data owner authorize access, and IT provisions the approved company VPN when remote access is required.</w:t>
      </w:r>
    </w:p>
    <w:p>
      <w:pPr>
        <w:spacing w:after="100"/>
      </w:pPr>
      <w:r>
        <w:rPr>
          <w:rFonts w:ascii="Calibri" w:hAnsi="Calibri"/>
          <w:b/>
          <w:color w:val="1F4D78"/>
          <w:sz w:val="22"/>
        </w:rPr>
        <w:t xml:space="preserve">Expense approval. </w:t>
      </w:r>
      <w:r>
        <w:rPr>
          <w:rFonts w:ascii="Calibri" w:hAnsi="Calibri"/>
          <w:b w:val="0"/>
          <w:color w:val="222222"/>
          <w:sz w:val="22"/>
        </w:rPr>
        <w:t>Finance approval is required only for a paid product, subscription, device, connectivity charge, or reimbursement.</w:t>
      </w:r>
    </w:p>
    <w:p>
      <w:pPr>
        <w:pStyle w:val="Heading1"/>
      </w:pPr>
      <w:r>
        <w:t>Decision rules</w:t>
      </w:r>
    </w:p>
    <w:p>
      <w:pPr>
        <w:pStyle w:val="ListNumber"/>
        <w:spacing w:after="120" w:line="264" w:lineRule="auto"/>
      </w:pPr>
      <w:r>
        <w:rPr>
          <w:rFonts w:ascii="Calibri" w:hAnsi="Calibri"/>
          <w:b w:val="0"/>
          <w:color w:val="222222"/>
          <w:sz w:val="22"/>
        </w:rPr>
        <w:t>Using the company-provided VPN to access salary data requires the appropriate NDA and access approval, but no expense approval is needed when there is no additional cost.</w:t>
      </w:r>
    </w:p>
    <w:p>
      <w:pPr>
        <w:pStyle w:val="ListNumber"/>
        <w:spacing w:after="120" w:line="264" w:lineRule="auto"/>
      </w:pPr>
      <w:r>
        <w:rPr>
          <w:rFonts w:ascii="Calibri" w:hAnsi="Calibri"/>
          <w:b w:val="0"/>
          <w:color w:val="222222"/>
          <w:sz w:val="22"/>
        </w:rPr>
        <w:t>A paid third-party VPN or connectivity purchase must not be used for salary data unless IT and Legal approve the security arrangement; any resulting cost also needs Finance approval under the normal purchasing or expense policy.</w:t>
      </w:r>
    </w:p>
    <w:p>
      <w:pPr>
        <w:pStyle w:val="ListNumber"/>
        <w:spacing w:after="120" w:line="264" w:lineRule="auto"/>
      </w:pPr>
      <w:r>
        <w:rPr>
          <w:rFonts w:ascii="Calibri" w:hAnsi="Calibri"/>
          <w:b w:val="0"/>
          <w:color w:val="222222"/>
          <w:sz w:val="22"/>
        </w:rPr>
        <w:t>An NDA never substitutes for access authorization, and expense approval never grants permission to view confidential salary information.</w:t>
      </w:r>
    </w:p>
    <w:p>
      <w:pPr>
        <w:pStyle w:val="ListNumber"/>
        <w:spacing w:after="120" w:line="264" w:lineRule="auto"/>
      </w:pPr>
      <w:r>
        <w:rPr>
          <w:rFonts w:ascii="Calibri" w:hAnsi="Calibri"/>
          <w:b w:val="0"/>
          <w:color w:val="222222"/>
          <w:sz w:val="22"/>
        </w:rPr>
        <w:t>When the request combines confidentiality, access, and spending, obtain each applicable approval independently before access or purchase occurs.</w:t>
      </w:r>
    </w:p>
    <w:p>
      <w:pPr>
        <w:pStyle w:val="Heading1"/>
      </w:pPr>
      <w:r>
        <w:t>Worked example</w:t>
      </w:r>
    </w:p>
    <w:p>
      <w:r>
        <w:t>An employee signs a salary-data NDA and requests access to the payroll system from home. The manager and payroll data owner approve access, and IT enables the standard company VPN. Because the standard VPN creates no new employee expense, no VPN expense approval is required. If the employee instead proposes buying a separate VPN subscription, IT and Legal must first approve the tool and Finance must approve the cost before purchase.</w:t>
      </w:r>
    </w:p>
    <w:p>
      <w:pPr>
        <w:pStyle w:val="Heading1"/>
      </w:pPr>
      <w:r>
        <w:t>Common questions</w:t>
      </w:r>
    </w:p>
    <w:p>
      <w:pPr>
        <w:spacing w:after="40"/>
      </w:pPr>
      <w:r>
        <w:rPr>
          <w:rFonts w:ascii="Calibri" w:hAnsi="Calibri"/>
          <w:b/>
          <w:color w:val="1F4D78"/>
          <w:sz w:val="22"/>
        </w:rPr>
        <w:t>A VPN expense approval is required for the salary NDA, right?</w:t>
      </w:r>
    </w:p>
    <w:p>
      <w:pPr>
        <w:spacing w:after="140"/>
        <w:ind w:left="288"/>
      </w:pPr>
      <w:r>
        <w:t>No. The salary NDA and VPN access approval are separate, and expense approval applies only if there is an actual paid or reimbursable VPN-related cost.</w:t>
      </w:r>
    </w:p>
    <w:p>
      <w:pPr>
        <w:spacing w:after="40"/>
      </w:pPr>
      <w:r>
        <w:rPr>
          <w:rFonts w:ascii="Calibri" w:hAnsi="Calibri"/>
          <w:b/>
          <w:color w:val="1F4D78"/>
          <w:sz w:val="22"/>
        </w:rPr>
        <w:t>Does signing the salary NDA automatically grant VPN access?</w:t>
      </w:r>
    </w:p>
    <w:p>
      <w:pPr>
        <w:spacing w:after="140"/>
        <w:ind w:left="288"/>
      </w:pPr>
      <w:r>
        <w:t>No. The manager and relevant system or data owner must separately authorize access.</w:t>
      </w:r>
    </w:p>
    <w:p>
      <w:pPr>
        <w:spacing w:after="40"/>
      </w:pPr>
      <w:r>
        <w:rPr>
          <w:rFonts w:ascii="Calibri" w:hAnsi="Calibri"/>
          <w:b/>
          <w:color w:val="1F4D78"/>
          <w:sz w:val="22"/>
        </w:rPr>
        <w:t>Can I buy my own VPN after signing the NDA?</w:t>
      </w:r>
    </w:p>
    <w:p>
      <w:pPr>
        <w:spacing w:after="140"/>
        <w:ind w:left="288"/>
      </w:pPr>
      <w:r>
        <w:t>Not automatically. IT and Legal must approve the security arrangement, and Finance must approve any company-funded or reimbursed cost before purchase.</w:t>
      </w:r>
    </w:p>
    <w:p>
      <w:pPr>
        <w:pStyle w:val="Heading1"/>
      </w:pPr>
      <w:r>
        <w:t>Escalation</w:t>
      </w:r>
    </w:p>
    <w:p>
      <w:r>
        <w:t>Send questions about confidentiality scope or approved tools to Legal; send system-access questions to IT or Operations; and send purchase or reimbursement questions to Finance. When a request spans more than one area, all applicable owners must approve their part.</w:t>
      </w:r>
    </w:p>
    <w:p>
      <w:pPr>
        <w:spacing w:before="200"/>
      </w:pPr>
      <w:r>
        <w:rPr>
          <w:rFonts w:ascii="Calibri" w:hAnsi="Calibri"/>
          <w:b/>
          <w:color w:val="64748B"/>
          <w:sz w:val="18"/>
        </w:rPr>
        <w:t xml:space="preserve">Demo note: </w:t>
      </w:r>
      <w:r>
        <w:rPr>
          <w:rFonts w:ascii="Calibri" w:hAnsi="Calibri"/>
          <w:b w:val="0"/>
          <w:color w:val="64748B"/>
          <w:sz w:val="18"/>
        </w:rPr>
        <w:t>This fictional internal policy was prepared for IntelliKnow retrieval and classification demonstrations; it is not legal advice.</w:t>
      </w: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libri" w:hAnsi="Calibri"/>
        <w:b w:val="0"/>
        <w:color w:val="64748B"/>
        <w:sz w:val="18"/>
      </w:rPr>
      <w:t>Internal demo content  |  13 August 2026</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alibri" w:hAnsi="Calibri"/>
        <w:b/>
        <w:color w:val="64748B"/>
        <w:sz w:val="18"/>
      </w:rPr>
      <w:t>INTELLIKNOW DEMO POLICY  |  LEGAL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4" w:lineRule="auto"/>
    </w:pPr>
    <w:rPr>
      <w:rFonts w:ascii="Calibri" w:hAnsi="Calibri"/>
      <w:color w:val="222222"/>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