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and Travel Policy</w:t>
      </w:r>
      <w:r>
        <w:br/>
      </w:r>
    </w:p>
    <w:p>
      <w:pPr>
        <w:pStyle w:val="Subtitle"/>
      </w:pPr>
      <w:r>
        <w:rPr>
          <w:color w:val="5F6B76"/>
        </w:rPr>
        <w:t>Reimbursement, corporate card, approval, and business travel rules</w:t>
      </w:r>
    </w:p>
    <w:tbl>
      <w:tblPr>
        <w:tblW w:type="auto" w:w="0"/>
        <w:jc w:val="left"/>
        <w:tblLayout w:type="fixed"/>
        <w:tblLook w:firstColumn="1" w:firstRow="1" w:lastColumn="0" w:lastRow="0" w:noHBand="0" w:noVBand="1" w:val="04A0"/>
      </w:tblPr>
      <w:tblGrid>
        <w:gridCol w:w="4824"/>
        <w:gridCol w:w="4824"/>
      </w:tblGrid>
      <w:tr>
        <w:tc>
          <w:tcPr>
            <w:tcW w:type="dxa" w:w="2200"/>
            <w:shd w:fill="E8EEF5"/>
            <w:vAlign w:val="center"/>
          </w:tcPr>
          <w:p>
            <w:r>
              <w:rPr>
                <w:b/>
              </w:rPr>
              <w:t>Owner</w:t>
            </w:r>
          </w:p>
        </w:tc>
        <w:tc>
          <w:tcPr>
            <w:tcW w:type="dxa" w:w="7160"/>
            <w:vAlign w:val="center"/>
          </w:tcPr>
          <w:p>
            <w:r>
              <w:t>Finance Operations</w:t>
            </w:r>
          </w:p>
        </w:tc>
      </w:tr>
      <w:tr>
        <w:tc>
          <w:tcPr>
            <w:tcW w:type="dxa" w:w="2200"/>
            <w:shd w:fill="E8EEF5"/>
            <w:vAlign w:val="center"/>
          </w:tcPr>
          <w:p>
            <w:r>
              <w:rPr>
                <w:b/>
              </w:rPr>
              <w:t>Effective date</w:t>
            </w:r>
          </w:p>
        </w:tc>
        <w:tc>
          <w:tcPr>
            <w:tcW w:type="dxa" w:w="7160"/>
            <w:vAlign w:val="center"/>
          </w:tcPr>
          <w:p>
            <w:r>
              <w:t>January 1, 2026</w:t>
            </w:r>
          </w:p>
        </w:tc>
      </w:tr>
      <w:tr>
        <w:tc>
          <w:tcPr>
            <w:tcW w:type="dxa" w:w="2200"/>
            <w:shd w:fill="E8EEF5"/>
            <w:vAlign w:val="center"/>
          </w:tcPr>
          <w:p>
            <w:r>
              <w:rPr>
                <w:b/>
              </w:rPr>
              <w:t>Review cycle</w:t>
            </w:r>
          </w:p>
        </w:tc>
        <w:tc>
          <w:tcPr>
            <w:tcW w:type="dxa" w:w="7160"/>
            <w:vAlign w:val="center"/>
          </w:tcPr>
          <w:p>
            <w:r>
              <w:t>Annual</w:t>
            </w:r>
          </w:p>
        </w:tc>
      </w:tr>
      <w:tr>
        <w:tc>
          <w:tcPr>
            <w:tcW w:type="dxa" w:w="2200"/>
            <w:shd w:fill="E8EEF5"/>
            <w:vAlign w:val="center"/>
          </w:tcPr>
          <w:p>
            <w:r>
              <w:rPr>
                <w:b/>
              </w:rPr>
              <w:t>Document status</w:t>
            </w:r>
          </w:p>
        </w:tc>
        <w:tc>
          <w:tcPr>
            <w:tcW w:type="dxa" w:w="7160"/>
            <w:vAlign w:val="center"/>
          </w:tcPr>
          <w:p>
            <w:r>
              <w:t>Fictional demo policy</w:t>
            </w:r>
          </w:p>
        </w:tc>
      </w:tr>
    </w:tbl>
    <w:p>
      <w:r>
        <w:t>This fictional policy is designed for IntelliKnow retrieval and citation testing. It is not legal, tax, employment, or accounting advice.</w:t>
      </w:r>
    </w:p>
    <w:p>
      <w:pPr>
        <w:pStyle w:val="Heading1"/>
      </w:pPr>
      <w:r>
        <w:t>Quick answer</w:t>
      </w:r>
    </w:p>
    <w:p>
      <w:r>
        <w:rPr>
          <w:b/>
        </w:rPr>
        <w:t>For travel expenses, submit Form FIN-204 (Travel Expense Report) in ExpenseHub within 10 business days after the trip ends.</w:t>
      </w:r>
      <w:r>
        <w:t xml:space="preserve"> Attach required receipts and identify the business purpose, attendees, project or cost center, and dates. Expenses above a limit require documented pre-approval; use Form FIN-205 for an exception request before committing the cost when possible.</w:t>
      </w:r>
    </w:p>
    <w:p>
      <w:pPr>
        <w:pStyle w:val="Heading1"/>
      </w:pPr>
      <w:r>
        <w:t>1. Purpose and scope</w:t>
      </w:r>
    </w:p>
    <w:p>
      <w:r>
        <w:t>This policy applies to employees, directors, interns, and contractors when Northstar Labs has agreed to reimburse a business expense. It covers employee-paid purchases, corporate-card transactions, mileage, and domestic or international business travel. Supplier invoices governed by a purchase order follow Procurement Policy instead of this reimbursement workflow.</w:t>
      </w:r>
    </w:p>
    <w:p>
      <w:pPr>
        <w:pStyle w:val="Heading1"/>
      </w:pPr>
      <w:r>
        <w:t>2. Core responsibilities</w:t>
      </w:r>
    </w:p>
    <w:p>
      <w:pPr>
        <w:pStyle w:val="ListBullet"/>
      </w:pPr>
      <w:r>
        <w:t>The traveler or purchaser chooses a reasonable, business-related option and submits complete, accurate records on time.</w:t>
      </w:r>
    </w:p>
    <w:p>
      <w:pPr>
        <w:pStyle w:val="ListBullet"/>
      </w:pPr>
      <w:r>
        <w:t>The manager confirms business purpose, policy compliance, cost-center accuracy, and budget availability.</w:t>
      </w:r>
    </w:p>
    <w:p>
      <w:pPr>
        <w:pStyle w:val="ListBullet"/>
      </w:pPr>
      <w:r>
        <w:t>Finance Operations reviews tax treatment, receipts, duplicate claims, foreign exchange, and policy exceptions.</w:t>
      </w:r>
    </w:p>
    <w:p>
      <w:pPr>
        <w:pStyle w:val="ListBullet"/>
      </w:pPr>
      <w:r>
        <w:t>The most senior employee present pays for a group meal to avoid self-approval by a junior attendee.</w:t>
      </w:r>
    </w:p>
    <w:p>
      <w:pPr>
        <w:pStyle w:val="ListBullet"/>
      </w:pPr>
      <w:r>
        <w:t>No employee may approve their own expense, split a purchase to avoid an approval limit, or claim a personal cost as business-related.</w:t>
      </w:r>
    </w:p>
    <w:p>
      <w:pPr>
        <w:pStyle w:val="Heading1"/>
      </w:pPr>
      <w:r>
        <w:t>3. Forms and submission deadlines</w:t>
      </w:r>
    </w:p>
    <w:tbl>
      <w:tblPr>
        <w:tblW w:type="auto" w:w="0"/>
        <w:jc w:val="left"/>
        <w:tblLayout w:type="fixed"/>
        <w:tblLook w:firstColumn="1" w:firstRow="1" w:lastColumn="0" w:lastRow="0" w:noHBand="0" w:noVBand="1" w:val="04A0"/>
      </w:tblPr>
      <w:tblGrid>
        <w:gridCol w:w="3216"/>
        <w:gridCol w:w="3216"/>
        <w:gridCol w:w="3216"/>
      </w:tblGrid>
      <w:tr>
        <w:trPr>
          <w:tblHeader w:val="true"/>
        </w:trPr>
        <w:tc>
          <w:tcPr>
            <w:tcW w:type="dxa" w:w="1800"/>
            <w:shd w:fill="1F4D78"/>
          </w:tcPr>
          <w:p>
            <w:r>
              <w:rPr>
                <w:b/>
                <w:color w:val="FFFFFF"/>
              </w:rPr>
              <w:t>Form</w:t>
            </w:r>
          </w:p>
        </w:tc>
        <w:tc>
          <w:tcPr>
            <w:tcW w:type="dxa" w:w="4800"/>
            <w:shd w:fill="1F4D78"/>
          </w:tcPr>
          <w:p>
            <w:r>
              <w:rPr>
                <w:b/>
                <w:color w:val="FFFFFF"/>
              </w:rPr>
              <w:t>Use</w:t>
            </w:r>
          </w:p>
        </w:tc>
        <w:tc>
          <w:tcPr>
            <w:tcW w:type="dxa" w:w="2760"/>
            <w:shd w:fill="1F4D78"/>
          </w:tcPr>
          <w:p>
            <w:r>
              <w:rPr>
                <w:b/>
                <w:color w:val="FFFFFF"/>
              </w:rPr>
              <w:t>Deadline / owner</w:t>
            </w:r>
          </w:p>
        </w:tc>
      </w:tr>
      <w:tr>
        <w:tc>
          <w:tcPr>
            <w:tcW w:type="dxa" w:w="1800"/>
            <w:vAlign w:val="top"/>
          </w:tcPr>
          <w:p>
            <w:r>
              <w:t>FIN-204 - Travel Expense Report</w:t>
            </w:r>
          </w:p>
        </w:tc>
        <w:tc>
          <w:tcPr>
            <w:tcW w:type="dxa" w:w="4800"/>
            <w:vAlign w:val="top"/>
          </w:tcPr>
          <w:p>
            <w:r>
              <w:t>Airfare, lodging, meals, local transport, mileage, visa, and other trip costs</w:t>
            </w:r>
          </w:p>
        </w:tc>
        <w:tc>
          <w:tcPr>
            <w:tcW w:type="dxa" w:w="2760"/>
            <w:vAlign w:val="top"/>
          </w:tcPr>
          <w:p>
            <w:r>
              <w:t>Traveler submits within 10 business days after trip</w:t>
            </w:r>
          </w:p>
        </w:tc>
      </w:tr>
      <w:tr>
        <w:tc>
          <w:tcPr>
            <w:tcW w:type="dxa" w:w="1800"/>
            <w:vAlign w:val="top"/>
          </w:tcPr>
          <w:p>
            <w:r>
              <w:t>FIN-205 - Expense Exception Request</w:t>
            </w:r>
          </w:p>
        </w:tc>
        <w:tc>
          <w:tcPr>
            <w:tcW w:type="dxa" w:w="4800"/>
            <w:vAlign w:val="top"/>
          </w:tcPr>
          <w:p>
            <w:r>
              <w:t>Advance approval when a policy limit or booking rule cannot reasonably be met</w:t>
            </w:r>
          </w:p>
        </w:tc>
        <w:tc>
          <w:tcPr>
            <w:tcW w:type="dxa" w:w="2760"/>
            <w:vAlign w:val="top"/>
          </w:tcPr>
          <w:p>
            <w:r>
              <w:t>Employee submits before purchase; CFO after-the-fact approval if unavoidable</w:t>
            </w:r>
          </w:p>
        </w:tc>
      </w:tr>
      <w:tr>
        <w:tc>
          <w:tcPr>
            <w:tcW w:type="dxa" w:w="1800"/>
            <w:vAlign w:val="top"/>
          </w:tcPr>
          <w:p>
            <w:r>
              <w:t>FIN-207 - Mileage Log</w:t>
            </w:r>
          </w:p>
        </w:tc>
        <w:tc>
          <w:tcPr>
            <w:tcW w:type="dxa" w:w="4800"/>
            <w:vAlign w:val="top"/>
          </w:tcPr>
          <w:p>
            <w:r>
              <w:t>Personal-vehicle business mileage with date, route, purpose, and distance</w:t>
            </w:r>
          </w:p>
        </w:tc>
        <w:tc>
          <w:tcPr>
            <w:tcW w:type="dxa" w:w="2760"/>
            <w:vAlign w:val="top"/>
          </w:tcPr>
          <w:p>
            <w:r>
              <w:t>Attach to FIN-204 or monthly expense report</w:t>
            </w:r>
          </w:p>
        </w:tc>
      </w:tr>
      <w:tr>
        <w:tc>
          <w:tcPr>
            <w:tcW w:type="dxa" w:w="1800"/>
            <w:vAlign w:val="top"/>
          </w:tcPr>
          <w:p>
            <w:r>
              <w:t>FIN-210 - Missing Receipt Declaration</w:t>
            </w:r>
          </w:p>
        </w:tc>
        <w:tc>
          <w:tcPr>
            <w:tcW w:type="dxa" w:w="4800"/>
            <w:vAlign w:val="top"/>
          </w:tcPr>
          <w:p>
            <w:r>
              <w:t>Receipt unavailable after reasonable effort; not valid for lodging or airfare</w:t>
            </w:r>
          </w:p>
        </w:tc>
        <w:tc>
          <w:tcPr>
            <w:tcW w:type="dxa" w:w="2760"/>
            <w:vAlign w:val="top"/>
          </w:tcPr>
          <w:p>
            <w:r>
              <w:t>Employee and manager sign with expense report</w:t>
            </w:r>
          </w:p>
        </w:tc>
      </w:tr>
    </w:tbl>
    <w:p>
      <w:r>
        <w:t>ExpenseHub routes each report to the employee's manager and the cost-center owner when different. Reports submitted more than 60 calendar days after the expense may be treated as taxable compensation and require the Finance Controller. Reports older than 90 days are not reimbursed without CFO approval.</w:t>
      </w:r>
    </w:p>
    <w:p>
      <w:pPr>
        <w:pStyle w:val="Heading1"/>
      </w:pPr>
      <w:r>
        <w:t>4. Pre-trip planning and booking</w:t>
      </w:r>
    </w:p>
    <w:p>
      <w:r>
        <w:t>Travel must have a clear business purpose and normally be approved before booking. Use the approved travel portal for air, rail, hotel, and rental cars. A traveler may book outside the portal only when the portal lacks a safe or practical option, an external conference package is required, or Finance approves an exception.</w:t>
      </w:r>
    </w:p>
    <w:p>
      <w:pPr>
        <w:pStyle w:val="ListBullet"/>
      </w:pPr>
      <w:r>
        <w:t>Air travel: economy class for flights under six hours; premium economy may be approved for a scheduled segment of six hours or more. Business class requires the responsible executive and CFO.</w:t>
      </w:r>
    </w:p>
    <w:p>
      <w:pPr>
        <w:pStyle w:val="ListBullet"/>
      </w:pPr>
      <w:r>
        <w:t>Rail: standard class is expected. A flexible ticket is allowed when schedule uncertainty makes the expected total cost lower.</w:t>
      </w:r>
    </w:p>
    <w:p>
      <w:pPr>
        <w:pStyle w:val="ListBullet"/>
      </w:pPr>
      <w:r>
        <w:t>Hotel: choose a safe business hotel within the city cap. Internet and mandatory taxes are reimbursable in addition to the cap; optional upgrades are personal.</w:t>
      </w:r>
    </w:p>
    <w:p>
      <w:pPr>
        <w:pStyle w:val="ListBullet"/>
      </w:pPr>
      <w:r>
        <w:t>Rental car: compact or intermediate unless three or more employees travel together, equipment requires a larger vehicle, or accessibility needs apply.</w:t>
      </w:r>
    </w:p>
    <w:p>
      <w:pPr>
        <w:pStyle w:val="ListBullet"/>
      </w:pPr>
      <w:r>
        <w:t>Personal travel added to a business trip is allowed only when the company pays no more than the documented business-only itinerary. The employee pays companion and leisure costs directly.</w:t>
      </w:r>
    </w:p>
    <w:p>
      <w:pPr>
        <w:pStyle w:val="Heading1"/>
      </w:pPr>
      <w:r>
        <w:t>5. Reimbursement limits</w:t>
      </w:r>
    </w:p>
    <w:tbl>
      <w:tblPr>
        <w:tblW w:type="auto" w:w="0"/>
        <w:jc w:val="left"/>
        <w:tblLayout w:type="fixed"/>
        <w:tblLook w:firstColumn="1" w:firstRow="1" w:lastColumn="0" w:lastRow="0" w:noHBand="0" w:noVBand="1" w:val="04A0"/>
      </w:tblPr>
      <w:tblGrid>
        <w:gridCol w:w="3216"/>
        <w:gridCol w:w="3216"/>
        <w:gridCol w:w="3216"/>
      </w:tblGrid>
      <w:tr>
        <w:trPr>
          <w:tblHeader w:val="true"/>
        </w:trPr>
        <w:tc>
          <w:tcPr>
            <w:tcW w:type="dxa" w:w="2450"/>
            <w:shd w:fill="1F4D78"/>
          </w:tcPr>
          <w:p>
            <w:r>
              <w:rPr>
                <w:b/>
                <w:color w:val="FFFFFF"/>
              </w:rPr>
              <w:t>Expense category</w:t>
            </w:r>
          </w:p>
        </w:tc>
        <w:tc>
          <w:tcPr>
            <w:tcW w:type="dxa" w:w="1800"/>
            <w:shd w:fill="1F4D78"/>
          </w:tcPr>
          <w:p>
            <w:r>
              <w:rPr>
                <w:b/>
                <w:color w:val="FFFFFF"/>
              </w:rPr>
              <w:t>Standard limit</w:t>
            </w:r>
          </w:p>
        </w:tc>
        <w:tc>
          <w:tcPr>
            <w:tcW w:type="dxa" w:w="5110"/>
            <w:shd w:fill="1F4D78"/>
          </w:tcPr>
          <w:p>
            <w:r>
              <w:rPr>
                <w:b/>
                <w:color w:val="FFFFFF"/>
              </w:rPr>
              <w:t>Evidence and notes</w:t>
            </w:r>
          </w:p>
        </w:tc>
      </w:tr>
      <w:tr>
        <w:tc>
          <w:tcPr>
            <w:tcW w:type="dxa" w:w="2450"/>
            <w:vAlign w:val="top"/>
          </w:tcPr>
          <w:p>
            <w:r>
              <w:t>Meals during business travel</w:t>
            </w:r>
          </w:p>
        </w:tc>
        <w:tc>
          <w:tcPr>
            <w:tcW w:type="dxa" w:w="1800"/>
            <w:vAlign w:val="top"/>
          </w:tcPr>
          <w:p>
            <w:r>
              <w:t>USD 150 per traveler per day</w:t>
            </w:r>
          </w:p>
        </w:tc>
        <w:tc>
          <w:tcPr>
            <w:tcW w:type="dxa" w:w="5110"/>
            <w:vAlign w:val="top"/>
          </w:tcPr>
          <w:p>
            <w:r>
              <w:t>Itemized receipt required when a single transaction is USD 25 or more; alcohol limited to USD 30 and only with a business meal</w:t>
            </w:r>
          </w:p>
        </w:tc>
      </w:tr>
      <w:tr>
        <w:tc>
          <w:tcPr>
            <w:tcW w:type="dxa" w:w="2450"/>
            <w:vAlign w:val="top"/>
          </w:tcPr>
          <w:p>
            <w:r>
              <w:t>Domestic hotel</w:t>
            </w:r>
          </w:p>
        </w:tc>
        <w:tc>
          <w:tcPr>
            <w:tcW w:type="dxa" w:w="1800"/>
            <w:vAlign w:val="top"/>
          </w:tcPr>
          <w:p>
            <w:r>
              <w:t>USD 275 per night before tax</w:t>
            </w:r>
          </w:p>
        </w:tc>
        <w:tc>
          <w:tcPr>
            <w:tcW w:type="dxa" w:w="5110"/>
            <w:vAlign w:val="top"/>
          </w:tcPr>
          <w:p>
            <w:r>
              <w:t>City cap; New York, San Francisco, London, Zurich, and Tokyo cap is USD 375</w:t>
            </w:r>
          </w:p>
        </w:tc>
      </w:tr>
      <w:tr>
        <w:tc>
          <w:tcPr>
            <w:tcW w:type="dxa" w:w="2450"/>
            <w:vAlign w:val="top"/>
          </w:tcPr>
          <w:p>
            <w:r>
              <w:t>Ground transport</w:t>
            </w:r>
          </w:p>
        </w:tc>
        <w:tc>
          <w:tcPr>
            <w:tcW w:type="dxa" w:w="1800"/>
            <w:vAlign w:val="top"/>
          </w:tcPr>
          <w:p>
            <w:r>
              <w:t>Reasonable actual cost</w:t>
            </w:r>
          </w:p>
        </w:tc>
        <w:tc>
          <w:tcPr>
            <w:tcW w:type="dxa" w:w="5110"/>
            <w:vAlign w:val="top"/>
          </w:tcPr>
          <w:p>
            <w:r>
              <w:t>Use public transit or ride service when practical; luxury vehicles are not reimbursable</w:t>
            </w:r>
          </w:p>
        </w:tc>
      </w:tr>
      <w:tr>
        <w:tc>
          <w:tcPr>
            <w:tcW w:type="dxa" w:w="2450"/>
            <w:vAlign w:val="top"/>
          </w:tcPr>
          <w:p>
            <w:r>
              <w:t>Personal vehicle mileage</w:t>
            </w:r>
          </w:p>
        </w:tc>
        <w:tc>
          <w:tcPr>
            <w:tcW w:type="dxa" w:w="1800"/>
            <w:vAlign w:val="top"/>
          </w:tcPr>
          <w:p>
            <w:r>
              <w:t>USD 0.67 per business mile</w:t>
            </w:r>
          </w:p>
        </w:tc>
        <w:tc>
          <w:tcPr>
            <w:tcW w:type="dxa" w:w="5110"/>
            <w:vAlign w:val="top"/>
          </w:tcPr>
          <w:p>
            <w:r>
              <w:t>Attach FIN-207; normal commute is excluded; tolls and parking may be added</w:t>
            </w:r>
          </w:p>
        </w:tc>
      </w:tr>
      <w:tr>
        <w:tc>
          <w:tcPr>
            <w:tcW w:type="dxa" w:w="2450"/>
            <w:vAlign w:val="top"/>
          </w:tcPr>
          <w:p>
            <w:r>
              <w:t>Home-office supplies</w:t>
            </w:r>
          </w:p>
        </w:tc>
        <w:tc>
          <w:tcPr>
            <w:tcW w:type="dxa" w:w="1800"/>
            <w:vAlign w:val="top"/>
          </w:tcPr>
          <w:p>
            <w:r>
              <w:t>USD 300 per calendar year</w:t>
            </w:r>
          </w:p>
        </w:tc>
        <w:tc>
          <w:tcPr>
            <w:tcW w:type="dxa" w:w="5110"/>
            <w:vAlign w:val="top"/>
          </w:tcPr>
          <w:p>
            <w:r>
              <w:t>Manager approval; equipment remains company property when Finance designates it as an asset</w:t>
            </w:r>
          </w:p>
        </w:tc>
      </w:tr>
      <w:tr>
        <w:tc>
          <w:tcPr>
            <w:tcW w:type="dxa" w:w="2450"/>
            <w:vAlign w:val="top"/>
          </w:tcPr>
          <w:p>
            <w:r>
              <w:t>External business meal</w:t>
            </w:r>
          </w:p>
        </w:tc>
        <w:tc>
          <w:tcPr>
            <w:tcW w:type="dxa" w:w="1800"/>
            <w:vAlign w:val="top"/>
          </w:tcPr>
          <w:p>
            <w:r>
              <w:t>USD 125 per attendee</w:t>
            </w:r>
          </w:p>
        </w:tc>
        <w:tc>
          <w:tcPr>
            <w:tcW w:type="dxa" w:w="5110"/>
            <w:vAlign w:val="top"/>
          </w:tcPr>
          <w:p>
            <w:r>
              <w:t>List attendees, organizations, and specific business purpose</w:t>
            </w:r>
          </w:p>
        </w:tc>
      </w:tr>
      <w:tr>
        <w:tc>
          <w:tcPr>
            <w:tcW w:type="dxa" w:w="2450"/>
            <w:vAlign w:val="top"/>
          </w:tcPr>
          <w:p>
            <w:r>
              <w:t>Mobile / internet</w:t>
            </w:r>
          </w:p>
        </w:tc>
        <w:tc>
          <w:tcPr>
            <w:tcW w:type="dxa" w:w="1800"/>
            <w:vAlign w:val="top"/>
          </w:tcPr>
          <w:p>
            <w:r>
              <w:t>USD 75 per month where role-approved</w:t>
            </w:r>
          </w:p>
        </w:tc>
        <w:tc>
          <w:tcPr>
            <w:tcW w:type="dxa" w:w="5110"/>
            <w:vAlign w:val="top"/>
          </w:tcPr>
          <w:p>
            <w:r>
              <w:t>Only incremental business cost; not available when a company plan is provided</w:t>
            </w:r>
          </w:p>
        </w:tc>
      </w:tr>
    </w:tbl>
    <w:p>
      <w:r>
        <w:t>The USD 150 travel-meal limit is a daily ceiling, not a per diem. Employees claim actual reasonable cost and may not claim unused allowance. Conference-provided meals should reduce the day's expected claim. Tips are reimbursable up to 20% unless local custom or mandatory service charges justify more.</w:t>
      </w:r>
    </w:p>
    <w:p>
      <w:pPr>
        <w:pStyle w:val="Heading1"/>
      </w:pPr>
      <w:r>
        <w:t>6. Receipts, currency, and documentation</w:t>
      </w:r>
    </w:p>
    <w:p>
      <w:pPr>
        <w:pStyle w:val="ListBullet"/>
      </w:pPr>
      <w:r>
        <w:t>An itemized receipt is required for every airfare, lodging, rental car, and equipment purchase, and for any other single expense of USD 25 or more.</w:t>
      </w:r>
    </w:p>
    <w:p>
      <w:pPr>
        <w:pStyle w:val="ListBullet"/>
      </w:pPr>
      <w:r>
        <w:t>A card slip showing only the total is not itemized evidence when detailed evidence is normally available.</w:t>
      </w:r>
    </w:p>
    <w:p>
      <w:pPr>
        <w:pStyle w:val="ListBullet"/>
      </w:pPr>
      <w:r>
        <w:t>ExpenseHub converts foreign currency using its transaction-date rate. If the card statement shows a different settled amount, attach it and claim that amount instead.</w:t>
      </w:r>
    </w:p>
    <w:p>
      <w:pPr>
        <w:pStyle w:val="ListBullet"/>
      </w:pPr>
      <w:r>
        <w:t>Record the business purpose with enough detail to identify why the company benefited. 'Meeting' or 'travel' alone is insufficient.</w:t>
      </w:r>
    </w:p>
    <w:p>
      <w:pPr>
        <w:pStyle w:val="ListBullet"/>
      </w:pPr>
      <w:r>
        <w:t>For a missing receipt, request a duplicate first. FIN-210 is limited to two uses per rolling 12 months unless the Controller approves more.</w:t>
      </w:r>
    </w:p>
    <w:p>
      <w:pPr>
        <w:pStyle w:val="Heading1"/>
      </w:pPr>
      <w:r>
        <w:t>7. Approval matrix</w:t>
      </w:r>
    </w:p>
    <w:tbl>
      <w:tblPr>
        <w:tblW w:type="auto" w:w="0"/>
        <w:jc w:val="left"/>
        <w:tblLayout w:type="fixed"/>
        <w:tblLook w:firstColumn="1" w:firstRow="1" w:lastColumn="0" w:lastRow="0" w:noHBand="0" w:noVBand="1" w:val="04A0"/>
      </w:tblPr>
      <w:tblGrid>
        <w:gridCol w:w="4824"/>
        <w:gridCol w:w="4824"/>
      </w:tblGrid>
      <w:tr>
        <w:trPr>
          <w:tblHeader w:val="true"/>
        </w:trPr>
        <w:tc>
          <w:tcPr>
            <w:tcW w:type="dxa" w:w="2800"/>
            <w:shd w:fill="1F4D78"/>
          </w:tcPr>
          <w:p>
            <w:r>
              <w:rPr>
                <w:b/>
                <w:color w:val="FFFFFF"/>
              </w:rPr>
              <w:t>Total report or transaction</w:t>
            </w:r>
          </w:p>
        </w:tc>
        <w:tc>
          <w:tcPr>
            <w:tcW w:type="dxa" w:w="6560"/>
            <w:shd w:fill="1F4D78"/>
          </w:tcPr>
          <w:p>
            <w:r>
              <w:rPr>
                <w:b/>
                <w:color w:val="FFFFFF"/>
              </w:rPr>
              <w:t>Required approvals</w:t>
            </w:r>
          </w:p>
        </w:tc>
      </w:tr>
      <w:tr>
        <w:tc>
          <w:tcPr>
            <w:tcW w:type="dxa" w:w="2800"/>
            <w:vAlign w:val="top"/>
          </w:tcPr>
          <w:p>
            <w:r>
              <w:t>Up to USD 1,000</w:t>
            </w:r>
          </w:p>
        </w:tc>
        <w:tc>
          <w:tcPr>
            <w:tcW w:type="dxa" w:w="6560"/>
            <w:vAlign w:val="top"/>
          </w:tcPr>
          <w:p>
            <w:r>
              <w:t>Employee's manager</w:t>
            </w:r>
          </w:p>
        </w:tc>
      </w:tr>
      <w:tr>
        <w:tc>
          <w:tcPr>
            <w:tcW w:type="dxa" w:w="2800"/>
            <w:vAlign w:val="top"/>
          </w:tcPr>
          <w:p>
            <w:r>
              <w:t>USD 1,000.01 to USD 5,000</w:t>
            </w:r>
          </w:p>
        </w:tc>
        <w:tc>
          <w:tcPr>
            <w:tcW w:type="dxa" w:w="6560"/>
            <w:vAlign w:val="top"/>
          </w:tcPr>
          <w:p>
            <w:r>
              <w:t>Manager and department director / cost-center owner</w:t>
            </w:r>
          </w:p>
        </w:tc>
      </w:tr>
      <w:tr>
        <w:tc>
          <w:tcPr>
            <w:tcW w:type="dxa" w:w="2800"/>
            <w:vAlign w:val="top"/>
          </w:tcPr>
          <w:p>
            <w:r>
              <w:t>USD 5,000.01 to USD 25,000</w:t>
            </w:r>
          </w:p>
        </w:tc>
        <w:tc>
          <w:tcPr>
            <w:tcW w:type="dxa" w:w="6560"/>
            <w:vAlign w:val="top"/>
          </w:tcPr>
          <w:p>
            <w:r>
              <w:t>Vice president and Finance Controller</w:t>
            </w:r>
          </w:p>
        </w:tc>
      </w:tr>
      <w:tr>
        <w:tc>
          <w:tcPr>
            <w:tcW w:type="dxa" w:w="2800"/>
            <w:vAlign w:val="top"/>
          </w:tcPr>
          <w:p>
            <w:r>
              <w:t>Above USD 25,000</w:t>
            </w:r>
          </w:p>
        </w:tc>
        <w:tc>
          <w:tcPr>
            <w:tcW w:type="dxa" w:w="6560"/>
            <w:vAlign w:val="top"/>
          </w:tcPr>
          <w:p>
            <w:r>
              <w:t>Responsible executive and CFO; Procurement review may also apply</w:t>
            </w:r>
          </w:p>
        </w:tc>
      </w:tr>
      <w:tr>
        <w:tc>
          <w:tcPr>
            <w:tcW w:type="dxa" w:w="2800"/>
            <w:vAlign w:val="top"/>
          </w:tcPr>
          <w:p>
            <w:r>
              <w:t>Any employee reimbursement to an executive</w:t>
            </w:r>
          </w:p>
        </w:tc>
        <w:tc>
          <w:tcPr>
            <w:tcW w:type="dxa" w:w="6560"/>
            <w:vAlign w:val="top"/>
          </w:tcPr>
          <w:p>
            <w:r>
              <w:t>Another executive plus CFO; Board chair for the CEO</w:t>
            </w:r>
          </w:p>
        </w:tc>
      </w:tr>
      <w:tr>
        <w:tc>
          <w:tcPr>
            <w:tcW w:type="dxa" w:w="2800"/>
            <w:vAlign w:val="top"/>
          </w:tcPr>
          <w:p>
            <w:r>
              <w:t>Any policy exception</w:t>
            </w:r>
          </w:p>
        </w:tc>
        <w:tc>
          <w:tcPr>
            <w:tcW w:type="dxa" w:w="6560"/>
            <w:vAlign w:val="top"/>
          </w:tcPr>
          <w:p>
            <w:r>
              <w:t>FIN-205 plus the approver named by the relevant rule</w:t>
            </w:r>
          </w:p>
        </w:tc>
      </w:tr>
    </w:tbl>
    <w:p>
      <w:pPr>
        <w:pStyle w:val="Heading1"/>
      </w:pPr>
      <w:r>
        <w:t>8. Corporate cards</w:t>
      </w:r>
    </w:p>
    <w:p>
      <w:r>
        <w:t>Corporate cards are for company business only. Cardholders upload receipts and code transactions within five business days after notification. Personal use must be reported immediately and repaid within five business days; repeated or intentional misuse may result in card suspension and disciplinary action. A card transaction does not bypass this policy, Procurement, or the approval matrix.</w:t>
      </w:r>
    </w:p>
    <w:p>
      <w:pPr>
        <w:pStyle w:val="Heading1"/>
      </w:pPr>
      <w:r>
        <w:t>9. Non-reimbursable expenses</w:t>
      </w:r>
    </w:p>
    <w:p>
      <w:pPr>
        <w:pStyle w:val="ListBullet"/>
      </w:pPr>
      <w:r>
        <w:t>Normal commuting, traffic fines, parking violations, minibar purchases, in-room entertainment, personal grooming, childcare, pet care, and companion travel.</w:t>
      </w:r>
    </w:p>
    <w:p>
      <w:pPr>
        <w:pStyle w:val="ListBullet"/>
      </w:pPr>
      <w:r>
        <w:t>First-class travel, luxury vehicles, airline club memberships, or hotel upgrades without approved business justification.</w:t>
      </w:r>
    </w:p>
    <w:p>
      <w:pPr>
        <w:pStyle w:val="ListBullet"/>
      </w:pPr>
      <w:r>
        <w:t>Political contributions, personal charitable donations, gifts prohibited by the Ethics Policy, or costs that violate law or contract.</w:t>
      </w:r>
    </w:p>
    <w:p>
      <w:pPr>
        <w:pStyle w:val="ListBullet"/>
      </w:pPr>
      <w:r>
        <w:t>Loss of personal property, except where a written assignment specifically provides coverage.</w:t>
      </w:r>
    </w:p>
    <w:p>
      <w:pPr>
        <w:pStyle w:val="ListBullet"/>
      </w:pPr>
      <w:r>
        <w:t>Duplicate claims, loyalty points purchased for personal use, or any amount already paid by a supplier, customer, conference, or another employee.</w:t>
      </w:r>
    </w:p>
    <w:p>
      <w:pPr>
        <w:pStyle w:val="Heading1"/>
      </w:pPr>
      <w:r>
        <w:t>10. Exceptions and emergencies</w:t>
      </w:r>
    </w:p>
    <w:p>
      <w:r>
        <w:t>Safety takes priority over cost. During a severe weather event, medical issue, civil disruption, or other emergency, the traveler should choose a safe reasonable option and notify the manager as soon as practical. If advance approval was impossible, attach FIN-205 and supporting evidence to FIN-204. After-the-fact exceptions require the manager and Finance Controller; an amount above USD 5,000 or an expressly prohibited category requires the CFO.</w:t>
      </w:r>
    </w:p>
    <w:p>
      <w:pPr>
        <w:pStyle w:val="Heading1"/>
      </w:pPr>
      <w:r>
        <w:t>11. Worked examples</w:t>
      </w:r>
    </w:p>
    <w:tbl>
      <w:tblPr>
        <w:tblW w:type="auto" w:w="0"/>
        <w:jc w:val="left"/>
        <w:tblLayout w:type="fixed"/>
        <w:tblLook w:firstColumn="1" w:firstRow="1" w:lastColumn="0" w:lastRow="0" w:noHBand="0" w:noVBand="1" w:val="04A0"/>
      </w:tblPr>
      <w:tblGrid>
        <w:gridCol w:w="4824"/>
        <w:gridCol w:w="4824"/>
      </w:tblGrid>
      <w:tr>
        <w:trPr>
          <w:tblHeader w:val="true"/>
        </w:trPr>
        <w:tc>
          <w:tcPr>
            <w:tcW w:type="dxa" w:w="3900"/>
            <w:shd w:fill="1F4D78"/>
          </w:tcPr>
          <w:p>
            <w:r>
              <w:rPr>
                <w:b/>
                <w:color w:val="FFFFFF"/>
              </w:rPr>
              <w:t>Scenario</w:t>
            </w:r>
          </w:p>
        </w:tc>
        <w:tc>
          <w:tcPr>
            <w:tcW w:type="dxa" w:w="5460"/>
            <w:shd w:fill="1F4D78"/>
          </w:tcPr>
          <w:p>
            <w:r>
              <w:rPr>
                <w:b/>
                <w:color w:val="FFFFFF"/>
              </w:rPr>
              <w:t>Policy result</w:t>
            </w:r>
          </w:p>
        </w:tc>
      </w:tr>
      <w:tr>
        <w:tc>
          <w:tcPr>
            <w:tcW w:type="dxa" w:w="3900"/>
            <w:vAlign w:val="top"/>
          </w:tcPr>
          <w:p>
            <w:r>
              <w:t>Three-day trip with meals of USD 110, USD 165, and USD 90</w:t>
            </w:r>
          </w:p>
        </w:tc>
        <w:tc>
          <w:tcPr>
            <w:tcW w:type="dxa" w:w="5460"/>
            <w:vAlign w:val="top"/>
          </w:tcPr>
          <w:p>
            <w:r>
              <w:t>Claim USD 110, USD 150, and USD 90 unless FIN-205 approved the second-day exception; daily amounts cannot be averaged across days.</w:t>
            </w:r>
          </w:p>
        </w:tc>
      </w:tr>
      <w:tr>
        <w:tc>
          <w:tcPr>
            <w:tcW w:type="dxa" w:w="3900"/>
            <w:vAlign w:val="top"/>
          </w:tcPr>
          <w:p>
            <w:r>
              <w:t>Hotel costs USD 310 in Chicago because the approved portal had no compliant room</w:t>
            </w:r>
          </w:p>
        </w:tc>
        <w:tc>
          <w:tcPr>
            <w:tcW w:type="dxa" w:w="5460"/>
            <w:vAlign w:val="top"/>
          </w:tcPr>
          <w:p>
            <w:r>
              <w:t>Attach portal evidence and FIN-205. Manager and Finance decide whether the exception was reasonable.</w:t>
            </w:r>
          </w:p>
        </w:tc>
      </w:tr>
      <w:tr>
        <w:tc>
          <w:tcPr>
            <w:tcW w:type="dxa" w:w="3900"/>
            <w:vAlign w:val="top"/>
          </w:tcPr>
          <w:p>
            <w:r>
              <w:t>Employee drives 120 business miles and pays USD 18 tolls</w:t>
            </w:r>
          </w:p>
        </w:tc>
        <w:tc>
          <w:tcPr>
            <w:tcW w:type="dxa" w:w="5460"/>
            <w:vAlign w:val="top"/>
          </w:tcPr>
          <w:p>
            <w:r>
              <w:t>Attach FIN-207. Mileage is USD 80.40 plus USD 18 tolls; normal commute miles are removed.</w:t>
            </w:r>
          </w:p>
        </w:tc>
      </w:tr>
      <w:tr>
        <w:tc>
          <w:tcPr>
            <w:tcW w:type="dxa" w:w="3900"/>
            <w:vAlign w:val="top"/>
          </w:tcPr>
          <w:p>
            <w:r>
              <w:t>Receipt lost for a USD 42 taxi</w:t>
            </w:r>
          </w:p>
        </w:tc>
        <w:tc>
          <w:tcPr>
            <w:tcW w:type="dxa" w:w="5460"/>
            <w:vAlign w:val="top"/>
          </w:tcPr>
          <w:p>
            <w:r>
              <w:t>Request a duplicate; if unavailable, attach FIN-210. This counts toward the two-declaration annual guideline.</w:t>
            </w:r>
          </w:p>
        </w:tc>
      </w:tr>
    </w:tbl>
    <w:p>
      <w:pPr>
        <w:pStyle w:val="Heading1"/>
      </w:pPr>
      <w:r>
        <w:t>12. Contacts and records</w:t>
      </w:r>
    </w:p>
    <w:p>
      <w:r>
        <w:t>Questions go to expenses@northstarlabs.example. Suspected fraud or deliberate misstatement should be reported to the Ethics Line or legal@northstarlabs.example. Finance retains expense reports and attachments for seven years, or longer when a legal hold applies. The published policy in FinanceHub controls over downloaded copies.</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6"/>
        <w:sz w:val="16"/>
      </w:rPr>
      <w:t xml:space="preserve">Fictional IntelliKnow demo corpus  |  </w:t>
    </w: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F6B76"/>
        <w:sz w:val="16"/>
      </w:rPr>
      <w:t>NORTHSTAR LABS  |  INTERNAL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i/>
      <w:iCs/>
      <w:color w:val="1F4D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