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r>
        <w:br/>
      </w:r>
    </w:p>
    <w:p>
      <w:pPr>
        <w:pStyle w:val="Subtitle"/>
      </w:pPr>
      <w:r>
        <w:rPr>
          <w:color w:val="5F6B76"/>
        </w:rPr>
        <w:t>Standard evaluation and business-discussion form</w:t>
      </w:r>
    </w:p>
    <w:tbl>
      <w:tblPr>
        <w:tblW w:type="auto" w:w="0"/>
        <w:jc w:val="left"/>
        <w:tblLayout w:type="fixed"/>
        <w:tblLook w:firstColumn="1" w:firstRow="1" w:lastColumn="0" w:lastRow="0" w:noHBand="0" w:noVBand="1" w:val="04A0"/>
      </w:tblPr>
      <w:tblGrid>
        <w:gridCol w:w="4824"/>
        <w:gridCol w:w="4824"/>
      </w:tblGrid>
      <w:tr>
        <w:tc>
          <w:tcPr>
            <w:tcW w:type="dxa" w:w="2200"/>
            <w:shd w:fill="E8EEF5"/>
            <w:vAlign w:val="center"/>
          </w:tcPr>
          <w:p>
            <w:r>
              <w:rPr>
                <w:b/>
              </w:rPr>
              <w:t>Owner</w:t>
            </w:r>
          </w:p>
        </w:tc>
        <w:tc>
          <w:tcPr>
            <w:tcW w:type="dxa" w:w="7160"/>
            <w:vAlign w:val="center"/>
          </w:tcPr>
          <w:p>
            <w:r>
              <w:t>Legal Department</w:t>
            </w:r>
          </w:p>
        </w:tc>
      </w:tr>
      <w:tr>
        <w:tc>
          <w:tcPr>
            <w:tcW w:type="dxa" w:w="2200"/>
            <w:shd w:fill="E8EEF5"/>
            <w:vAlign w:val="center"/>
          </w:tcPr>
          <w:p>
            <w:r>
              <w:rPr>
                <w:b/>
              </w:rPr>
              <w:t>Effective date</w:t>
            </w:r>
          </w:p>
        </w:tc>
        <w:tc>
          <w:tcPr>
            <w:tcW w:type="dxa" w:w="7160"/>
            <w:vAlign w:val="center"/>
          </w:tcPr>
          <w:p>
            <w:r>
              <w:t>January 1, 2026</w:t>
            </w:r>
          </w:p>
        </w:tc>
      </w:tr>
      <w:tr>
        <w:tc>
          <w:tcPr>
            <w:tcW w:type="dxa" w:w="2200"/>
            <w:shd w:fill="E8EEF5"/>
            <w:vAlign w:val="center"/>
          </w:tcPr>
          <w:p>
            <w:r>
              <w:rPr>
                <w:b/>
              </w:rPr>
              <w:t>Review cycle</w:t>
            </w:r>
          </w:p>
        </w:tc>
        <w:tc>
          <w:tcPr>
            <w:tcW w:type="dxa" w:w="7160"/>
            <w:vAlign w:val="center"/>
          </w:tcPr>
          <w:p>
            <w:r>
              <w:t>Annual</w:t>
            </w:r>
          </w:p>
        </w:tc>
      </w:tr>
      <w:tr>
        <w:tc>
          <w:tcPr>
            <w:tcW w:type="dxa" w:w="2200"/>
            <w:shd w:fill="E8EEF5"/>
            <w:vAlign w:val="center"/>
          </w:tcPr>
          <w:p>
            <w:r>
              <w:rPr>
                <w:b/>
              </w:rPr>
              <w:t>Document status</w:t>
            </w:r>
          </w:p>
        </w:tc>
        <w:tc>
          <w:tcPr>
            <w:tcW w:type="dxa" w:w="7160"/>
            <w:vAlign w:val="center"/>
          </w:tcPr>
          <w:p>
            <w:r>
              <w:t>Fictional demo policy</w:t>
            </w:r>
          </w:p>
        </w:tc>
      </w:tr>
    </w:tbl>
    <w:p>
      <w:r>
        <w:t>This fictional policy is designed for IntelliKnow retrieval and citation testing. It is not legal, tax, employment, or accounting advice.</w:t>
      </w:r>
    </w:p>
    <w:p>
      <w:r>
        <w:t>This sample agreement is between Northstar Labs, Inc. and the counterparty identified on the signature page. It is intended for mutual disclosure while the parties evaluate a potential commercial, technical, or strategic relationship (the Purpose).</w:t>
      </w:r>
    </w:p>
    <w:p>
      <w:pPr>
        <w:pStyle w:val="Heading1"/>
      </w:pPr>
      <w:r>
        <w:t>Agreement summary</w:t>
      </w:r>
    </w:p>
    <w:tbl>
      <w:tblPr>
        <w:tblW w:type="auto" w:w="0"/>
        <w:jc w:val="left"/>
        <w:tblLayout w:type="fixed"/>
        <w:tblLook w:firstColumn="1" w:firstRow="1" w:lastColumn="0" w:lastRow="0" w:noHBand="0" w:noVBand="1" w:val="04A0"/>
      </w:tblPr>
      <w:tblGrid>
        <w:gridCol w:w="4824"/>
        <w:gridCol w:w="4824"/>
      </w:tblGrid>
      <w:tr>
        <w:trPr>
          <w:tblHeader w:val="true"/>
        </w:trPr>
        <w:tc>
          <w:tcPr>
            <w:tcW w:type="dxa" w:w="2700"/>
            <w:shd w:fill="1F4D78"/>
          </w:tcPr>
          <w:p>
            <w:r>
              <w:rPr>
                <w:b/>
                <w:color w:val="FFFFFF"/>
              </w:rPr>
              <w:t>Item</w:t>
            </w:r>
          </w:p>
        </w:tc>
        <w:tc>
          <w:tcPr>
            <w:tcW w:type="dxa" w:w="6660"/>
            <w:shd w:fill="1F4D78"/>
          </w:tcPr>
          <w:p>
            <w:r>
              <w:rPr>
                <w:b/>
                <w:color w:val="FFFFFF"/>
              </w:rPr>
              <w:t>Standard term</w:t>
            </w:r>
          </w:p>
        </w:tc>
      </w:tr>
      <w:tr>
        <w:tc>
          <w:tcPr>
            <w:tcW w:type="dxa" w:w="2700"/>
            <w:vAlign w:val="top"/>
          </w:tcPr>
          <w:p>
            <w:r>
              <w:t>Effective date</w:t>
            </w:r>
          </w:p>
        </w:tc>
        <w:tc>
          <w:tcPr>
            <w:tcW w:type="dxa" w:w="6660"/>
            <w:vAlign w:val="top"/>
          </w:tcPr>
          <w:p>
            <w:r>
              <w:t>January 1, 2026, unless the signature page states another date</w:t>
            </w:r>
          </w:p>
        </w:tc>
      </w:tr>
      <w:tr>
        <w:tc>
          <w:tcPr>
            <w:tcW w:type="dxa" w:w="2700"/>
            <w:vAlign w:val="top"/>
          </w:tcPr>
          <w:p>
            <w:r>
              <w:t>Disclosure period</w:t>
            </w:r>
          </w:p>
        </w:tc>
        <w:tc>
          <w:tcPr>
            <w:tcW w:type="dxa" w:w="6660"/>
            <w:vAlign w:val="top"/>
          </w:tcPr>
          <w:p>
            <w:r>
              <w:t>Two years from the Effective Date</w:t>
            </w:r>
          </w:p>
        </w:tc>
      </w:tr>
      <w:tr>
        <w:tc>
          <w:tcPr>
            <w:tcW w:type="dxa" w:w="2700"/>
            <w:vAlign w:val="top"/>
          </w:tcPr>
          <w:p>
            <w:r>
              <w:t>Confidentiality period</w:t>
            </w:r>
          </w:p>
        </w:tc>
        <w:tc>
          <w:tcPr>
            <w:tcW w:type="dxa" w:w="6660"/>
            <w:vAlign w:val="top"/>
          </w:tcPr>
          <w:p>
            <w:r>
              <w:t>Five years from each disclosure; trade secrets remain protected while legally qualifying as trade secrets</w:t>
            </w:r>
          </w:p>
        </w:tc>
      </w:tr>
      <w:tr>
        <w:tc>
          <w:tcPr>
            <w:tcW w:type="dxa" w:w="2700"/>
            <w:vAlign w:val="top"/>
          </w:tcPr>
          <w:p>
            <w:r>
              <w:t>Permitted use</w:t>
            </w:r>
          </w:p>
        </w:tc>
        <w:tc>
          <w:tcPr>
            <w:tcW w:type="dxa" w:w="6660"/>
            <w:vAlign w:val="top"/>
          </w:tcPr>
          <w:p>
            <w:r>
              <w:t>Only to evaluate or pursue the Purpose</w:t>
            </w:r>
          </w:p>
        </w:tc>
      </w:tr>
      <w:tr>
        <w:tc>
          <w:tcPr>
            <w:tcW w:type="dxa" w:w="2700"/>
            <w:vAlign w:val="top"/>
          </w:tcPr>
          <w:p>
            <w:r>
              <w:t>Security incident notice</w:t>
            </w:r>
          </w:p>
        </w:tc>
        <w:tc>
          <w:tcPr>
            <w:tcW w:type="dxa" w:w="6660"/>
            <w:vAlign w:val="top"/>
          </w:tcPr>
          <w:p>
            <w:r>
              <w:t>Without undue delay and no later than 24 hours after discovery</w:t>
            </w:r>
          </w:p>
        </w:tc>
      </w:tr>
      <w:tr>
        <w:tc>
          <w:tcPr>
            <w:tcW w:type="dxa" w:w="2700"/>
            <w:vAlign w:val="top"/>
          </w:tcPr>
          <w:p>
            <w:r>
              <w:t>Return or destruction</w:t>
            </w:r>
          </w:p>
        </w:tc>
        <w:tc>
          <w:tcPr>
            <w:tcW w:type="dxa" w:w="6660"/>
            <w:vAlign w:val="top"/>
          </w:tcPr>
          <w:p>
            <w:r>
              <w:t>Within 10 business days after written request, subject to limited archival exceptions</w:t>
            </w:r>
          </w:p>
        </w:tc>
      </w:tr>
      <w:tr>
        <w:tc>
          <w:tcPr>
            <w:tcW w:type="dxa" w:w="2700"/>
            <w:vAlign w:val="top"/>
          </w:tcPr>
          <w:p>
            <w:r>
              <w:t>Legal contact</w:t>
            </w:r>
          </w:p>
        </w:tc>
        <w:tc>
          <w:tcPr>
            <w:tcW w:type="dxa" w:w="6660"/>
            <w:vAlign w:val="top"/>
          </w:tcPr>
          <w:p>
            <w:r>
              <w:t>legal@northstarlabs.example</w:t>
            </w:r>
          </w:p>
        </w:tc>
      </w:tr>
    </w:tbl>
    <w:p>
      <w:pPr>
        <w:pStyle w:val="Heading1"/>
      </w:pPr>
      <w:r>
        <w:t>1. Definitions</w:t>
      </w:r>
    </w:p>
    <w:p>
      <w:pPr>
        <w:pStyle w:val="Heading2"/>
      </w:pPr>
      <w:r>
        <w:t>1.1 Confidential Information</w:t>
      </w:r>
    </w:p>
    <w:p>
      <w:r>
        <w:t>Confidential Information means non-public information disclosed by or on behalf of a party (Disclosing Party) to the other party (Receiving Party), before or after the Effective Date, in any form, that is marked confidential or that a reasonable person would understand to be confidential given its nature and the circumstances of disclosure.</w:t>
      </w:r>
    </w:p>
    <w:p>
      <w:pPr>
        <w:pStyle w:val="ListBullet"/>
      </w:pPr>
      <w:r>
        <w:t>Business information, forecasts, pricing, customer and supplier information, contracts, product plans, research, strategy, and financial results.</w:t>
      </w:r>
    </w:p>
    <w:p>
      <w:pPr>
        <w:pStyle w:val="ListBullet"/>
      </w:pPr>
      <w:r>
        <w:t>Technical information, source code, object code, models, model weights, prompts, datasets, system architecture, designs, inventions, algorithms, security findings, and performance results.</w:t>
      </w:r>
    </w:p>
    <w:p>
      <w:pPr>
        <w:pStyle w:val="ListBullet"/>
      </w:pPr>
      <w:r>
        <w:t>Personal data, employee information, credentials, access tokens, and information subject to a contractual or legal confidentiality duty.</w:t>
      </w:r>
    </w:p>
    <w:p>
      <w:pPr>
        <w:pStyle w:val="ListBullet"/>
      </w:pPr>
      <w:r>
        <w:t>The existence and status of discussions, proposed transaction terms, demonstrations, samples, and notes or analyses derived from disclosed information.</w:t>
      </w:r>
    </w:p>
    <w:p>
      <w:pPr>
        <w:pStyle w:val="Heading2"/>
      </w:pPr>
      <w:r>
        <w:t>1.2 Representatives</w:t>
      </w:r>
    </w:p>
    <w:p>
      <w:r>
        <w:t>Representatives means a party's employees, officers, directors, professional advisers, auditors, and contractors who need the information for the Purpose and are bound by confidentiality obligations at least as protective as this Agreement. Affiliates are Representatives only when they meet these conditions.</w:t>
      </w:r>
    </w:p>
    <w:p>
      <w:pPr>
        <w:pStyle w:val="Heading1"/>
      </w:pPr>
      <w:r>
        <w:t>2. Exclusions</w:t>
      </w:r>
    </w:p>
    <w:p>
      <w:r>
        <w:t>Confidential Information does not include information that the Receiving Party can demonstrate with contemporaneous written records:</w:t>
      </w:r>
    </w:p>
    <w:p>
      <w:pPr>
        <w:pStyle w:val="ListBullet"/>
      </w:pPr>
      <w:r>
        <w:t>was lawfully known without restriction before disclosure by the Disclosing Party;</w:t>
      </w:r>
    </w:p>
    <w:p>
      <w:pPr>
        <w:pStyle w:val="ListBullet"/>
      </w:pPr>
      <w:r>
        <w:t>becomes public through no breach of this Agreement or other duty by the Receiving Party or its Representatives;</w:t>
      </w:r>
    </w:p>
    <w:p>
      <w:pPr>
        <w:pStyle w:val="ListBullet"/>
      </w:pPr>
      <w:r>
        <w:t>is received lawfully from a third party without a confidentiality duty; or</w:t>
      </w:r>
    </w:p>
    <w:p>
      <w:pPr>
        <w:pStyle w:val="ListBullet"/>
      </w:pPr>
      <w:r>
        <w:t>is independently developed without use of or reference to the Confidential Information.</w:t>
      </w:r>
    </w:p>
    <w:p>
      <w:r>
        <w:t>A combination of information is not excluded merely because individual elements are public. The Receiving Party bears the burden of establishing an exclusion.</w:t>
      </w:r>
    </w:p>
    <w:p>
      <w:pPr>
        <w:pStyle w:val="Heading1"/>
      </w:pPr>
      <w:r>
        <w:t>3. Use and protection obligations</w:t>
      </w:r>
    </w:p>
    <w:p>
      <w:pPr>
        <w:pStyle w:val="ListBullet"/>
      </w:pPr>
      <w:r>
        <w:t>Use Confidential Information solely for the Purpose and not for competitive analysis, product training, unrelated benchmarking, or another commercial purpose.</w:t>
      </w:r>
    </w:p>
    <w:p>
      <w:pPr>
        <w:pStyle w:val="ListBullet"/>
      </w:pPr>
      <w:r>
        <w:t>Disclose it only to Representatives with a need to know. The Receiving Party remains responsible for its Representatives' compliance.</w:t>
      </w:r>
    </w:p>
    <w:p>
      <w:pPr>
        <w:pStyle w:val="ListBullet"/>
      </w:pPr>
      <w:r>
        <w:t>Protect it with at least reasonable care and no less care than the Receiving Party uses for its own similarly sensitive information.</w:t>
      </w:r>
    </w:p>
    <w:p>
      <w:pPr>
        <w:pStyle w:val="ListBullet"/>
      </w:pPr>
      <w:r>
        <w:t>Do not copy, download, transmit, or retain more information than reasonably needed for the Purpose.</w:t>
      </w:r>
    </w:p>
    <w:p>
      <w:pPr>
        <w:pStyle w:val="ListBullet"/>
      </w:pPr>
      <w:r>
        <w:t>Do not remove confidentiality legends, circumvent access controls, or attempt to identify individuals in de-identified data.</w:t>
      </w:r>
    </w:p>
    <w:p>
      <w:pPr>
        <w:pStyle w:val="ListBullet"/>
      </w:pPr>
      <w:r>
        <w:t>Do not reverse engineer, decompile, disassemble, or derive composition from software, prototypes, samples, or models except where applicable law prohibits this restriction.</w:t>
      </w:r>
    </w:p>
    <w:p>
      <w:pPr>
        <w:pStyle w:val="Heading1"/>
      </w:pPr>
      <w:r>
        <w:t>4. Approved systems and artificial intelligence</w:t>
      </w:r>
    </w:p>
    <w:p>
      <w:r>
        <w:t>The Receiving Party must store Confidential Information only in systems approved for the information's sensitivity, with access controls, encryption in transit, and multi-factor authentication where reasonably available. It may not upload Confidential Information to a public generative-AI service, use it to train or improve a general-purpose model, or permit a service provider to retain prompts or outputs for unrelated model training without the Disclosing Party's prior written consent.</w:t>
      </w:r>
    </w:p>
    <w:p>
      <w:pPr>
        <w:pStyle w:val="Heading1"/>
      </w:pPr>
      <w:r>
        <w:t>5. Security incidents</w:t>
      </w:r>
    </w:p>
    <w:p>
      <w:r>
        <w:t>The Receiving Party must notify the Disclosing Party without undue delay and no later than 24 hours after discovering unauthorized access, use, loss, or disclosure involving Confidential Information. Notice should describe the known facts, affected information, containment actions, and investigation contact. The Receiving Party will preserve relevant evidence, take reasonable containment and remediation steps, and provide updates. Notice does not constitute an admission of fault.</w:t>
      </w:r>
    </w:p>
    <w:p>
      <w:pPr>
        <w:pStyle w:val="Heading1"/>
      </w:pPr>
      <w:r>
        <w:t>6. Legally compelled disclosure</w:t>
      </w:r>
    </w:p>
    <w:p>
      <w:r>
        <w:t>If law, regulation, subpoena, court order, or stock-exchange rule requires disclosure, the Receiving Party may disclose only the legally required portion. To the extent legally permitted, it must give prompt written notice so the Disclosing Party may seek a protective order, and it must reasonably cooperate at the Disclosing Party's expense. The Receiving Party will use reasonable efforts to obtain confidential treatment.</w:t>
      </w:r>
    </w:p>
    <w:p>
      <w:pPr>
        <w:pStyle w:val="Heading1"/>
      </w:pPr>
      <w:r>
        <w:t>7. Return and destruction</w:t>
      </w:r>
    </w:p>
    <w:p>
      <w:r>
        <w:t>Within 10 business days after written request or termination of discussions, the Receiving Party will return or securely destroy Confidential Information and, on request, certify completion through an authorized representative. It may retain one archival copy solely for legal or compliance purposes and information contained in routine disaster-recovery backups that cannot reasonably be isolated, provided retained information remains protected and is not restored except for recovery operations.</w:t>
      </w:r>
    </w:p>
    <w:p>
      <w:pPr>
        <w:pStyle w:val="Heading1"/>
      </w:pPr>
      <w:r>
        <w:t>8. Ownership and no license</w:t>
      </w:r>
    </w:p>
    <w:p>
      <w:r>
        <w:t>Each Disclosing Party retains all ownership of its Confidential Information. No patent, copyright, trademark, trade-secret, or other license is granted by implication, estoppel, or otherwise, except the limited right to use Confidential Information for the Purpose. Feedback is not transferred unless the parties sign a separate written agreement.</w:t>
      </w:r>
    </w:p>
    <w:p>
      <w:pPr>
        <w:pStyle w:val="Heading1"/>
      </w:pPr>
      <w:r>
        <w:t>9. No warranty or commitment</w:t>
      </w:r>
    </w:p>
    <w:p>
      <w:r>
        <w:t>Confidential Information is provided as-is for evaluation. Neither party makes a warranty as to accuracy or completeness, except that a party represents it may lawfully disclose the information. Neither party is required to disclose information, continue discussions, enter a transaction, or refrain from discussions with others. A binding commercial commitment exists only in a later definitive written agreement.</w:t>
      </w:r>
    </w:p>
    <w:p>
      <w:pPr>
        <w:pStyle w:val="Heading1"/>
      </w:pPr>
      <w:r>
        <w:t>10. Term and survival</w:t>
      </w:r>
    </w:p>
    <w:p>
      <w:r>
        <w:t>This Agreement begins on the Effective Date and permits disclosures for two years unless terminated earlier by either party on written notice. The confidentiality and restricted-use obligations continue for five years after each disclosure. Obligations for information qualifying as a trade secret continue for as long as that information remains a trade secret under applicable law. Sections concerning ownership, remedies, general terms, and retained archival copies survive as necessary to give them effect.</w:t>
      </w:r>
    </w:p>
    <w:p>
      <w:pPr>
        <w:pStyle w:val="Heading1"/>
      </w:pPr>
      <w:r>
        <w:t>11. Remedies</w:t>
      </w:r>
    </w:p>
    <w:p>
      <w:r>
        <w:t>Unauthorized use or disclosure may cause harm that money alone cannot adequately remedy. A Disclosing Party may seek injunctive or equitable relief in addition to other remedies, without waiving defenses or any requirement imposed by law. Nothing in this Agreement limits liability for fraud, willful misconduct, or misuse of intellectual property where such limitation would be unenforceable.</w:t>
      </w:r>
    </w:p>
    <w:p>
      <w:pPr>
        <w:pStyle w:val="Heading1"/>
      </w:pPr>
      <w:r>
        <w:t>12. General terms</w:t>
      </w:r>
    </w:p>
    <w:p>
      <w:pPr>
        <w:pStyle w:val="ListBullet"/>
      </w:pPr>
      <w:r>
        <w:t>Governing law: State of Washington, excluding conflict-of-law rules. State and federal courts in King County, Washington have exclusive jurisdiction, unless the parties specify otherwise on the signature page.</w:t>
      </w:r>
    </w:p>
    <w:p>
      <w:pPr>
        <w:pStyle w:val="ListBullet"/>
      </w:pPr>
      <w:r>
        <w:t>Assignment: neither party may assign this Agreement without written consent, except with a merger, reorganization, or sale of substantially all relevant assets if the successor assumes the obligations.</w:t>
      </w:r>
    </w:p>
    <w:p>
      <w:pPr>
        <w:pStyle w:val="ListBullet"/>
      </w:pPr>
      <w:r>
        <w:t>Notices: legal notices must be written and delivered by recognized courier or email with confirmation to the addresses on the signature page. Operational security notice may be sent to the named security contact.</w:t>
      </w:r>
    </w:p>
    <w:p>
      <w:pPr>
        <w:pStyle w:val="ListBullet"/>
      </w:pPr>
      <w:r>
        <w:t>Entire agreement: this document supersedes prior confidentiality understandings for the Purpose. Amendments and waivers must be written and signed by authorized representatives.</w:t>
      </w:r>
    </w:p>
    <w:p>
      <w:pPr>
        <w:pStyle w:val="ListBullet"/>
      </w:pPr>
      <w:r>
        <w:t>Severability and waiver: an unenforceable provision is modified only as needed; failure to enforce a provision is not a waiver.</w:t>
      </w:r>
    </w:p>
    <w:p>
      <w:pPr>
        <w:pStyle w:val="ListBullet"/>
      </w:pPr>
      <w:r>
        <w:t>Counterparts and electronic signatures are effective and together form one agreement.</w:t>
      </w:r>
    </w:p>
    <w:p>
      <w:pPr>
        <w:pStyle w:val="Heading1"/>
      </w:pPr>
      <w:r>
        <w:t>13. Signature information</w:t>
      </w:r>
    </w:p>
    <w:tbl>
      <w:tblPr>
        <w:tblW w:type="auto" w:w="0"/>
        <w:jc w:val="left"/>
        <w:tblLayout w:type="fixed"/>
        <w:tblLook w:firstColumn="1" w:firstRow="1" w:lastColumn="0" w:lastRow="0" w:noHBand="0" w:noVBand="1" w:val="04A0"/>
      </w:tblPr>
      <w:tblGrid>
        <w:gridCol w:w="3216"/>
        <w:gridCol w:w="3216"/>
        <w:gridCol w:w="3216"/>
      </w:tblGrid>
      <w:tr>
        <w:trPr>
          <w:tblHeader w:val="true"/>
        </w:trPr>
        <w:tc>
          <w:tcPr>
            <w:tcW w:type="dxa" w:w="1800"/>
            <w:shd w:fill="1F4D78"/>
          </w:tcPr>
          <w:p>
            <w:r>
              <w:rPr>
                <w:b/>
                <w:color w:val="FFFFFF"/>
              </w:rPr>
              <w:t>Field</w:t>
            </w:r>
          </w:p>
        </w:tc>
        <w:tc>
          <w:tcPr>
            <w:tcW w:type="dxa" w:w="3780"/>
            <w:shd w:fill="1F4D78"/>
          </w:tcPr>
          <w:p>
            <w:r>
              <w:rPr>
                <w:b/>
                <w:color w:val="FFFFFF"/>
              </w:rPr>
              <w:t>Northstar Labs, Inc.</w:t>
            </w:r>
          </w:p>
        </w:tc>
        <w:tc>
          <w:tcPr>
            <w:tcW w:type="dxa" w:w="3780"/>
            <w:shd w:fill="1F4D78"/>
          </w:tcPr>
          <w:p>
            <w:r>
              <w:rPr>
                <w:b/>
                <w:color w:val="FFFFFF"/>
              </w:rPr>
              <w:t>Counterparty</w:t>
            </w:r>
          </w:p>
        </w:tc>
      </w:tr>
      <w:tr>
        <w:tc>
          <w:tcPr>
            <w:tcW w:type="dxa" w:w="1800"/>
            <w:vAlign w:val="top"/>
          </w:tcPr>
          <w:p>
            <w:r>
              <w:t>Legal name</w:t>
            </w:r>
          </w:p>
        </w:tc>
        <w:tc>
          <w:tcPr>
            <w:tcW w:type="dxa" w:w="3780"/>
            <w:vAlign w:val="top"/>
          </w:tcPr>
          <w:p>
            <w:r>
              <w:t>Northstar Labs, Inc.</w:t>
            </w:r>
          </w:p>
        </w:tc>
        <w:tc>
          <w:tcPr>
            <w:tcW w:type="dxa" w:w="3780"/>
            <w:vAlign w:val="top"/>
          </w:tcPr>
          <w:p>
            <w:r>
              <w:t>____________________________</w:t>
            </w:r>
          </w:p>
        </w:tc>
      </w:tr>
      <w:tr>
        <w:tc>
          <w:tcPr>
            <w:tcW w:type="dxa" w:w="1800"/>
            <w:vAlign w:val="top"/>
          </w:tcPr>
          <w:p>
            <w:r>
              <w:t>Authorized signer</w:t>
            </w:r>
          </w:p>
        </w:tc>
        <w:tc>
          <w:tcPr>
            <w:tcW w:type="dxa" w:w="3780"/>
            <w:vAlign w:val="top"/>
          </w:tcPr>
          <w:p>
            <w:r>
              <w:t>____________________________</w:t>
            </w:r>
          </w:p>
        </w:tc>
        <w:tc>
          <w:tcPr>
            <w:tcW w:type="dxa" w:w="3780"/>
            <w:vAlign w:val="top"/>
          </w:tcPr>
          <w:p>
            <w:r>
              <w:t>____________________________</w:t>
            </w:r>
          </w:p>
        </w:tc>
      </w:tr>
      <w:tr>
        <w:tc>
          <w:tcPr>
            <w:tcW w:type="dxa" w:w="1800"/>
            <w:vAlign w:val="top"/>
          </w:tcPr>
          <w:p>
            <w:r>
              <w:t>Title</w:t>
            </w:r>
          </w:p>
        </w:tc>
        <w:tc>
          <w:tcPr>
            <w:tcW w:type="dxa" w:w="3780"/>
            <w:vAlign w:val="top"/>
          </w:tcPr>
          <w:p>
            <w:r>
              <w:t>____________________________</w:t>
            </w:r>
          </w:p>
        </w:tc>
        <w:tc>
          <w:tcPr>
            <w:tcW w:type="dxa" w:w="3780"/>
            <w:vAlign w:val="top"/>
          </w:tcPr>
          <w:p>
            <w:r>
              <w:t>____________________________</w:t>
            </w:r>
          </w:p>
        </w:tc>
      </w:tr>
      <w:tr>
        <w:tc>
          <w:tcPr>
            <w:tcW w:type="dxa" w:w="1800"/>
            <w:vAlign w:val="top"/>
          </w:tcPr>
          <w:p>
            <w:r>
              <w:t>Date</w:t>
            </w:r>
          </w:p>
        </w:tc>
        <w:tc>
          <w:tcPr>
            <w:tcW w:type="dxa" w:w="3780"/>
            <w:vAlign w:val="top"/>
          </w:tcPr>
          <w:p>
            <w:r>
              <w:t>____________________________</w:t>
            </w:r>
          </w:p>
        </w:tc>
        <w:tc>
          <w:tcPr>
            <w:tcW w:type="dxa" w:w="3780"/>
            <w:vAlign w:val="top"/>
          </w:tcPr>
          <w:p>
            <w:r>
              <w:t>____________________________</w:t>
            </w:r>
          </w:p>
        </w:tc>
      </w:tr>
      <w:tr>
        <w:tc>
          <w:tcPr>
            <w:tcW w:type="dxa" w:w="1800"/>
            <w:vAlign w:val="top"/>
          </w:tcPr>
          <w:p>
            <w:r>
              <w:t>Legal notice email</w:t>
            </w:r>
          </w:p>
        </w:tc>
        <w:tc>
          <w:tcPr>
            <w:tcW w:type="dxa" w:w="3780"/>
            <w:vAlign w:val="top"/>
          </w:tcPr>
          <w:p>
            <w:r>
              <w:t>legal@northstarlabs.example</w:t>
            </w:r>
          </w:p>
        </w:tc>
        <w:tc>
          <w:tcPr>
            <w:tcW w:type="dxa" w:w="3780"/>
            <w:vAlign w:val="top"/>
          </w:tcPr>
          <w:p>
            <w:r>
              <w:t>____________________________</w:t>
            </w:r>
          </w:p>
        </w:tc>
      </w:tr>
      <w:tr>
        <w:tc>
          <w:tcPr>
            <w:tcW w:type="dxa" w:w="1800"/>
            <w:vAlign w:val="top"/>
          </w:tcPr>
          <w:p>
            <w:r>
              <w:t>Security contact</w:t>
            </w:r>
          </w:p>
        </w:tc>
        <w:tc>
          <w:tcPr>
            <w:tcW w:type="dxa" w:w="3780"/>
            <w:vAlign w:val="top"/>
          </w:tcPr>
          <w:p>
            <w:r>
              <w:t>security@northstarlabs.example</w:t>
            </w:r>
          </w:p>
        </w:tc>
        <w:tc>
          <w:tcPr>
            <w:tcW w:type="dxa" w:w="3780"/>
            <w:vAlign w:val="top"/>
          </w:tcPr>
          <w:p>
            <w:r>
              <w:t>____________________________</w:t>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6"/>
      </w:rPr>
      <w:t xml:space="preserve">Fictional IntelliKnow demo corpus  |  </w:t>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F6B76"/>
        <w:sz w:val="16"/>
      </w:rPr>
      <w:t>NORTHSTAR LABS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i/>
      <w:iCs/>
      <w:color w:val="1F4D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