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2E74B5"/>
          <w:sz w:val="18"/>
        </w:rPr>
        <w:t>TECHNICAL REFERENCE</w:t>
      </w:r>
    </w:p>
    <w:p>
      <w:pPr>
        <w:pStyle w:val="Title"/>
        <w:spacing w:after="120"/>
      </w:pPr>
      <w:r>
        <w:rPr>
          <w:rFonts w:ascii="Calibri" w:hAnsi="Calibri"/>
          <w:b/>
          <w:color w:val="1F1F1F"/>
          <w:sz w:val="48"/>
        </w:rPr>
        <w:t>NVIDIA Dynamo Architecture and Routing</w:t>
      </w:r>
    </w:p>
    <w:p>
      <w:pPr>
        <w:spacing w:after="280"/>
      </w:pPr>
      <w:r>
        <w:rPr>
          <w:rFonts w:ascii="Calibri" w:hAnsi="Calibri"/>
          <w:color w:val="595959"/>
          <w:sz w:val="24"/>
        </w:rPr>
        <w:t>Architecture, KV-aware routing, and disaggregated serving</w:t>
      </w:r>
    </w:p>
    <w:tbl>
      <w:tblPr>
        <w:tblW w:type="auto" w:w="0"/>
        <w:jc w:val="left"/>
        <w:tblLayout w:type="fixed"/>
        <w:tblLook w:firstColumn="1" w:firstRow="1" w:lastColumn="0" w:lastRow="0" w:noHBand="0" w:noVBand="1" w:val="04A0"/>
      </w:tblPr>
      <w:tblGrid>
        <w:gridCol w:w="1701"/>
        <w:gridCol w:w="7659"/>
      </w:tblGrid>
      <w:tr>
        <w:tc>
          <w:tcPr>
            <w:tcW w:type="dxa" w:w="1701"/>
            <w:vAlign w:val="center"/>
            <w:tcMar>
              <w:top w:w="80" w:type="dxa"/>
              <w:start w:w="120" w:type="dxa"/>
              <w:bottom w:w="80" w:type="dxa"/>
              <w:end w:w="120" w:type="dxa"/>
            </w:tcMar>
            <w:shd w:fill="E8EEF5"/>
          </w:tcPr>
          <w:p>
            <w:r>
              <w:rPr>
                <w:b/>
              </w:rPr>
              <w:t>Publisher</w:t>
            </w:r>
          </w:p>
        </w:tc>
        <w:tc>
          <w:tcPr>
            <w:tcW w:type="dxa" w:w="7659"/>
            <w:vAlign w:val="center"/>
            <w:tcMar>
              <w:top w:w="80" w:type="dxa"/>
              <w:start w:w="120" w:type="dxa"/>
              <w:bottom w:w="80" w:type="dxa"/>
              <w:end w:w="120" w:type="dxa"/>
            </w:tcMar>
          </w:tcPr>
          <w:p>
            <w:r>
              <w:t>NVIDIA Documentation</w:t>
            </w:r>
          </w:p>
        </w:tc>
      </w:tr>
      <w:tr>
        <w:tc>
          <w:tcPr>
            <w:tcW w:type="dxa" w:w="1701"/>
            <w:vAlign w:val="center"/>
            <w:tcMar>
              <w:top w:w="80" w:type="dxa"/>
              <w:start w:w="120" w:type="dxa"/>
              <w:bottom w:w="80" w:type="dxa"/>
              <w:end w:w="120" w:type="dxa"/>
            </w:tcMar>
            <w:shd w:fill="E8EEF5"/>
          </w:tcPr>
          <w:p>
            <w:r>
              <w:rPr>
                <w:b/>
              </w:rPr>
              <w:t>Retrieved</w:t>
            </w:r>
          </w:p>
        </w:tc>
        <w:tc>
          <w:tcPr>
            <w:tcW w:type="dxa" w:w="7659"/>
            <w:vAlign w:val="center"/>
            <w:tcMar>
              <w:top w:w="80" w:type="dxa"/>
              <w:start w:w="120" w:type="dxa"/>
              <w:bottom w:w="80" w:type="dxa"/>
              <w:end w:w="120" w:type="dxa"/>
            </w:tcMar>
          </w:tcPr>
          <w:p>
            <w:r>
              <w:t>2026-08-12</w:t>
            </w:r>
          </w:p>
        </w:tc>
      </w:tr>
    </w:tbl>
    <w:p>
      <w:pPr>
        <w:spacing w:before="200" w:after="200"/>
      </w:pPr>
      <w:r>
        <w:rPr>
          <w:i/>
          <w:color w:val="595959"/>
        </w:rPr>
        <w:t>Prepared as an upload-ready test document for IntelliKnow. The technical content below comes from the official NVIDIA pages listed with each section.</w:t>
      </w:r>
    </w:p>
    <w:p>
      <w:pPr>
        <w:pStyle w:val="Heading1"/>
      </w:pPr>
      <w:r>
        <w:t>Overall Architecture</w:t>
      </w:r>
    </w:p>
    <w:p>
      <w:pPr>
        <w:spacing w:after="160"/>
      </w:pPr>
      <w:r>
        <w:rPr>
          <w:color w:val="595959"/>
          <w:sz w:val="18"/>
        </w:rPr>
        <w:t>Official source: https://docs.nvidia.com/dynamo/dev/knowledge-base/overview</w:t>
      </w:r>
    </w:p>
    <w:p>
      <w:r>
        <w:t>Dynamo is a distributed inference runtime for generative AI systems that must operate at high throughput, low latency, and high reliability under changing traffic conditions. It is backend-agnostic (SGLang, TRT-LLM, vLLM, and others) and is built around three cooperating concerns:</w:t>
      </w:r>
    </w:p>
    <w:p>
      <w:pPr>
        <w:pStyle w:val="ListBullet"/>
      </w:pPr>
      <w:r>
        <w:t>A fast request path for token generation</w:t>
      </w:r>
    </w:p>
    <w:p>
      <w:pPr>
        <w:pStyle w:val="ListBullet"/>
      </w:pPr>
      <w:r>
        <w:t>A responsive control path for scaling and placement</w:t>
      </w:r>
    </w:p>
    <w:p>
      <w:pPr>
        <w:pStyle w:val="ListBullet"/>
      </w:pPr>
      <w:r>
        <w:t>A resilient state path for KV reuse and failure recovery</w:t>
      </w:r>
    </w:p>
    <w:p>
      <w:r>
        <w:t>This document presents Dynamo as an architecture, not a feature list: what each plane owns, how requests move, how the system adapts, and how it remains correct under failure.</w:t>
      </w:r>
    </w:p>
    <w:p>
      <w:pPr>
        <w:pStyle w:val="Heading2"/>
      </w:pPr>
      <w:r>
        <w:t>Design Goals</w:t>
      </w:r>
    </w:p>
    <w:p>
      <w:r>
        <w:t>Dynamo is designed to satisfy the following goals simultaneously:</w:t>
      </w:r>
    </w:p>
    <w:p>
      <w:pPr>
        <w:pStyle w:val="ListNumber"/>
      </w:pPr>
      <w:r>
        <w:t>Latency stability : keep TTFT and ITL predictable under bursty and mixed-length traffic.</w:t>
      </w:r>
    </w:p>
    <w:p>
      <w:pPr>
        <w:pStyle w:val="ListNumber"/>
      </w:pPr>
      <w:r>
        <w:t>GPU efficiency : disaggregate prefill and decode so each can scale independently.</w:t>
      </w:r>
    </w:p>
    <w:p>
      <w:pPr>
        <w:pStyle w:val="ListNumber"/>
      </w:pPr>
      <w:r>
        <w:t>Compute reuse : minimize KV recomputation through KV-aware routing and cache lifecycle management.</w:t>
      </w:r>
    </w:p>
    <w:p>
      <w:pPr>
        <w:pStyle w:val="ListNumber"/>
      </w:pPr>
      <w:r>
        <w:t>Operational resilience : treat worker crashes, restarts, and overload as normal operating events.</w:t>
      </w:r>
    </w:p>
    <w:p>
      <w:pPr>
        <w:pStyle w:val="ListNumber"/>
      </w:pPr>
      <w:r>
        <w:t>Deployment portability : support Kubernetes-native control paths and non-Kubernetes runtime modes.</w:t>
      </w:r>
    </w:p>
    <w:p>
      <w:pPr>
        <w:pStyle w:val="Heading2"/>
      </w:pPr>
      <w:r>
        <w:t>Why This Architecture Exists</w:t>
      </w:r>
    </w:p>
    <w:p>
      <w:r>
        <w:t>Modern LLM serving hits recurring bottlenecks:</w:t>
      </w:r>
    </w:p>
    <w:p>
      <w:pPr>
        <w:pStyle w:val="ListBullet"/>
      </w:pPr>
      <w:r>
        <w:t>Prefill/decode imbalance leaves GPUs underutilized when traffic mix shifts ( DistServe ).</w:t>
      </w:r>
    </w:p>
    <w:p>
      <w:pPr>
        <w:pStyle w:val="ListBullet"/>
      </w:pPr>
      <w:r>
        <w:t>KV recomputation increases TTFT and wastes compute when routing ignores cache overlap ( DeepSeek ).</w:t>
      </w:r>
    </w:p>
    <w:p>
      <w:pPr>
        <w:pStyle w:val="ListBullet"/>
      </w:pPr>
      <w:r>
        <w:t>Memory pressure from long contexts and concurrency exceeds HBM capacity without multi-tier cache management ( KVBM , Mooncake , AIBrix , FlexKV , LMCache ).</w:t>
      </w:r>
    </w:p>
    <w:p>
      <w:pPr>
        <w:pStyle w:val="ListBullet"/>
      </w:pPr>
      <w:r>
        <w:t>Dynamic demand breaks static provisioning assumptions ( AzureTrace ).</w:t>
      </w:r>
    </w:p>
    <w:p>
      <w:pPr>
        <w:pStyle w:val="ListBullet"/>
      </w:pPr>
      <w:r>
        <w:t>Real-world failures (pod restart, partition, hot-spot overload) require first-class recovery behavior.</w:t>
      </w:r>
    </w:p>
    <w:p>
      <w:r>
        <w:t>Dynamo addresses these constraints by separating serving, control, and state propagation into explicit planes and control loops.</w:t>
      </w:r>
    </w:p>
    <w:p>
      <w:pPr>
        <w:pStyle w:val="Heading2"/>
      </w:pPr>
      <w:r>
        <w:t>Architecture Overview</w:t>
      </w:r>
    </w:p>
    <w:p>
      <w:pPr>
        <w:pStyle w:val="Heading2"/>
      </w:pPr>
      <w:r>
        <w:t>System Model</w:t>
      </w:r>
    </w:p>
    <w:p>
      <w:pPr>
        <w:pStyle w:val="Heading3"/>
      </w:pPr>
      <w:r>
        <w:t>Backend Execution Modes</w:t>
      </w:r>
    </w:p>
    <w:p>
      <w:r>
        <w:t>Dynamo supports two ways to connect an inference engine to the request plane:</w:t>
      </w:r>
    </w:p>
    <w:p>
      <w:pPr>
        <w:pStyle w:val="ListBullet"/>
      </w:pPr>
      <w:r>
        <w:t>An integrated backend runs the Dynamo worker and inference engine in the same process.</w:t>
      </w:r>
    </w:p>
    <w:p>
      <w:pPr>
        <w:pStyle w:val="ListBullet"/>
      </w:pPr>
      <w:r>
        <w:t>An experimental sidecar backend runs a stock inference engine server beside a CPU-only Dynamo sidecar. The request plane calls the engine’s native gRPC API directly, while discovery and events flow through the sidecar.</w:t>
      </w:r>
    </w:p>
    <w:p>
      <w:r>
        <w:t>The sidecar mode preserves the engine’s native serve interface and separates engine dependencies from Dynamo, but it does not yet match the integrated backends’ feature coverage. See Sidecar Backends for the architecture and current readiness.</w:t>
      </w:r>
    </w:p>
    <w:p>
      <w:pPr>
        <w:pStyle w:val="Heading3"/>
      </w:pPr>
      <w:r>
        <w:t>Request Plane (critical data path)</w:t>
      </w:r>
    </w:p>
    <w:p>
      <w:r>
        <w:t>The request plane is responsible for request/response execution:</w:t>
      </w:r>
    </w:p>
    <w:p>
      <w:pPr>
        <w:pStyle w:val="ListBullet"/>
      </w:pPr>
      <w:r>
        <w:t>Frontend accepts and normalizes requests.</w:t>
      </w:r>
    </w:p>
    <w:p>
      <w:pPr>
        <w:pStyle w:val="ListBullet"/>
      </w:pPr>
      <w:r>
        <w:t>Router selects workers based on load and KV overlap.</w:t>
      </w:r>
    </w:p>
    <w:p>
      <w:pPr>
        <w:pStyle w:val="ListBullet"/>
      </w:pPr>
      <w:r>
        <w:t>Prefill workers compute prompt KV state.</w:t>
      </w:r>
    </w:p>
    <w:p>
      <w:pPr>
        <w:pStyle w:val="ListBullet"/>
      </w:pPr>
      <w:r>
        <w:t>Decode workers generate output tokens.</w:t>
      </w:r>
    </w:p>
    <w:p>
      <w:r>
        <w:t>This path is optimized for low overhead and continuous token streaming.</w:t>
      </w:r>
    </w:p>
    <w:p>
      <w:pPr>
        <w:pStyle w:val="Heading3"/>
      </w:pPr>
      <w:r>
        <w:t>Control Plane (adaptation and orchestration path)</w:t>
      </w:r>
    </w:p>
    <w:p>
      <w:r>
        <w:t>The control plane is responsible for desired-state management:</w:t>
      </w:r>
    </w:p>
    <w:p>
      <w:pPr>
        <w:pStyle w:val="ListBullet"/>
      </w:pPr>
      <w:r>
        <w:t>Planner computes scaling targets from live metrics.</w:t>
      </w:r>
    </w:p>
    <w:p>
      <w:pPr>
        <w:pStyle w:val="ListBullet"/>
      </w:pPr>
      <w:r>
        <w:t>Dynamo Operator reconciles Kubernetes resources from Dynamo CRDs.</w:t>
      </w:r>
    </w:p>
    <w:p>
      <w:pPr>
        <w:pStyle w:val="ListBullet"/>
      </w:pPr>
      <w:r>
        <w:t>Discovery + Endpoints/CRD establish liveness and discoverability.</w:t>
      </w:r>
    </w:p>
    <w:p>
      <w:pPr>
        <w:pStyle w:val="ListBullet"/>
      </w:pPr>
      <w:r>
        <w:t>Grove/KAI Scheduler path provides topology-aware placement and grouped scaling in multinode Kubernetes deployments.</w:t>
      </w:r>
    </w:p>
    <w:p>
      <w:pPr>
        <w:pStyle w:val="ListBullet"/>
      </w:pPr>
      <w:r>
        <w:t>Model Express is an optional model-management endpoint when configured.</w:t>
      </w:r>
    </w:p>
    <w:p>
      <w:r>
        <w:t>This path is optimized for correctness and convergence to target capacity.</w:t>
      </w:r>
    </w:p>
    <w:p>
      <w:pPr>
        <w:pStyle w:val="Heading3"/>
      </w:pPr>
      <w:r>
        <w:t>Storage &amp; Events Plane (state propagation path)</w:t>
      </w:r>
    </w:p>
    <w:p>
      <w:r>
        <w:t>The storage/events plane is responsible for cache state visibility and movement:</w:t>
      </w:r>
    </w:p>
    <w:p>
      <w:pPr>
        <w:pStyle w:val="ListBullet"/>
      </w:pPr>
      <w:r>
        <w:t>KV Events publish cache lifecycle transitions.</w:t>
      </w:r>
    </w:p>
    <w:p>
      <w:pPr>
        <w:pStyle w:val="ListBullet"/>
      </w:pPr>
      <w:r>
        <w:t>KVBM manages block reuse, eviction, and offload/recall across memory tiers.</w:t>
      </w:r>
    </w:p>
    <w:p>
      <w:pPr>
        <w:pStyle w:val="ListBullet"/>
      </w:pPr>
      <w:r>
        <w:t>NIXL performs high-speed KV/data transfer across workers and memory domains.</w:t>
      </w:r>
    </w:p>
    <w:p>
      <w:r>
        <w:t>This path is optimized for cache reuse and cross-worker handoff efficiency.</w:t>
      </w:r>
    </w:p>
    <w:p>
      <w:pPr>
        <w:pStyle w:val="Heading2"/>
      </w:pPr>
      <w:r>
        <w:t>End-to-End Request Narrative (Disaggregated Mode)</w:t>
      </w:r>
    </w:p>
    <w:p>
      <w:pPr>
        <w:pStyle w:val="ListNumber"/>
      </w:pPr>
      <w:r>
        <w:t>Client sends request to Frontend .</w:t>
      </w:r>
    </w:p>
    <w:p>
      <w:pPr>
        <w:pStyle w:val="ListNumber"/>
      </w:pPr>
      <w:r>
        <w:t>Frontend validates/preprocesses and forwards to Router .</w:t>
      </w:r>
    </w:p>
    <w:p>
      <w:pPr>
        <w:pStyle w:val="ListNumber"/>
      </w:pPr>
      <w:r>
        <w:t>Router chooses a Prefill worker .</w:t>
      </w:r>
    </w:p>
    <w:p>
      <w:pPr>
        <w:pStyle w:val="ListNumber"/>
      </w:pPr>
      <w:r>
        <w:t>Prefill computes KV and returns transfer metadata.</w:t>
      </w:r>
    </w:p>
    <w:p>
      <w:pPr>
        <w:pStyle w:val="ListNumber"/>
      </w:pPr>
      <w:r>
        <w:t>Router chooses a Decode worker .</w:t>
      </w:r>
    </w:p>
    <w:p>
      <w:pPr>
        <w:pStyle w:val="ListNumber"/>
      </w:pPr>
      <w:r>
        <w:t>Decode receives KV state (typically via NIXL transfer path).</w:t>
      </w:r>
    </w:p>
    <w:p>
      <w:pPr>
        <w:pStyle w:val="ListNumber"/>
      </w:pPr>
      <w:r>
        <w:t>Decode streams tokens back through Frontend.</w:t>
      </w:r>
    </w:p>
    <w:p>
      <w:pPr>
        <w:pStyle w:val="ListNumber"/>
      </w:pPr>
      <w:r>
        <w:t>KV Events update cache visibility for future routing decisions.</w:t>
      </w:r>
    </w:p>
    <w:p>
      <w:pPr>
        <w:pStyle w:val="ListNumber"/>
      </w:pPr>
      <w:r>
        <w:t>KVBM may offload or recall KV blocks based on pressure and reuse potential.</w:t>
      </w:r>
    </w:p>
    <w:p>
      <w:r>
        <w:t>For flow-level detail, see Architecture Flow. For request transport options, see Request Plane.</w:t>
      </w:r>
    </w:p>
    <w:p>
      <w:pPr>
        <w:pStyle w:val="Heading2"/>
      </w:pPr>
      <w:r>
        <w:t>Control Loops</w:t>
      </w:r>
    </w:p>
    <w:p>
      <w:pPr>
        <w:pStyle w:val="Heading3"/>
      </w:pPr>
      <w:r>
        <w:t>Serving Loop</w:t>
      </w:r>
    </w:p>
    <w:p>
      <w:r>
        <w:t>Maintains low-latency request execution across frontend, router, prefill, and decode workers.</w:t>
      </w:r>
    </w:p>
    <w:p>
      <w:pPr>
        <w:pStyle w:val="Heading3"/>
      </w:pPr>
      <w:r>
        <w:t>Planning Loop</w:t>
      </w:r>
    </w:p>
    <w:p>
      <w:r>
        <w:t>Maintains capacity alignment with demand:</w:t>
      </w:r>
    </w:p>
    <w:p>
      <w:pPr>
        <w:pStyle w:val="ListBullet"/>
      </w:pPr>
      <w:r>
        <w:t>Planner consumes runtime metrics.</w:t>
      </w:r>
    </w:p>
    <w:p>
      <w:pPr>
        <w:pStyle w:val="ListBullet"/>
      </w:pPr>
      <w:r>
        <w:t>Planner computes prefill/decode targets.</w:t>
      </w:r>
    </w:p>
    <w:p>
      <w:pPr>
        <w:pStyle w:val="ListBullet"/>
      </w:pPr>
      <w:r>
        <w:t>Connector layer applies targets to runtime resources.</w:t>
      </w:r>
    </w:p>
    <w:p>
      <w:r>
        <w:t>Planner supports throughput-based and load-based strategies. See Planner Design.</w:t>
      </w:r>
    </w:p>
    <w:p>
      <w:pPr>
        <w:pStyle w:val="Heading3"/>
      </w:pPr>
      <w:r>
        <w:t>Resilience Loop</w:t>
      </w:r>
    </w:p>
    <w:p>
      <w:r>
        <w:t>Maintains system continuity under failure:</w:t>
      </w:r>
    </w:p>
    <w:p>
      <w:pPr>
        <w:pStyle w:val="ListBullet"/>
      </w:pPr>
      <w:r>
        <w:t>Health checks detect unhealthy workers.</w:t>
      </w:r>
    </w:p>
    <w:p>
      <w:pPr>
        <w:pStyle w:val="ListBullet"/>
      </w:pPr>
      <w:r>
        <w:t>Discovery liveness removes stale endpoints.</w:t>
      </w:r>
    </w:p>
    <w:p>
      <w:pPr>
        <w:pStyle w:val="ListBullet"/>
      </w:pPr>
      <w:r>
        <w:t>Graceful shutdown drains in-flight work.</w:t>
      </w:r>
    </w:p>
    <w:p>
      <w:pPr>
        <w:pStyle w:val="ListBullet"/>
      </w:pPr>
      <w:r>
        <w:t>Request migration/cancellation controls in-flight behavior.</w:t>
      </w:r>
    </w:p>
    <w:p>
      <w:pPr>
        <w:pStyle w:val="ListBullet"/>
      </w:pPr>
      <w:r>
        <w:t>Load shedding prevents cascading collapse under overload.</w:t>
      </w:r>
    </w:p>
    <w:p>
      <w:r>
        <w:t>See Fault Tolerance.</w:t>
      </w:r>
    </w:p>
    <w:p>
      <w:pPr>
        <w:pStyle w:val="Heading2"/>
      </w:pPr>
      <w:r>
        <w:t>Kubernetes-Native Realization (CRD + Grove)</w:t>
      </w:r>
    </w:p>
    <w:p>
      <w:r>
        <w:t>In Kubernetes deployments, the same architecture maps to declarative resources:</w:t>
      </w:r>
    </w:p>
    <w:p>
      <w:pPr>
        <w:pStyle w:val="ListBullet"/>
      </w:pPr>
      <w:r>
        <w:t>Dynamo Operator reconciles DynamoGraphDeployment .</w:t>
      </w:r>
    </w:p>
    <w:p>
      <w:pPr>
        <w:pStyle w:val="ListBullet"/>
      </w:pPr>
      <w:r>
        <w:t>Discoverability is derived from DynamoWorkerMetadata + EndpointSlices.</w:t>
      </w:r>
    </w:p>
    <w:p>
      <w:pPr>
        <w:pStyle w:val="ListBullet"/>
      </w:pPr>
      <w:r>
        <w:t>Grove-backed multinode deployments model worker groups as PodCliqueSet and PodClique .</w:t>
      </w:r>
    </w:p>
    <w:p>
      <w:pPr>
        <w:pStyle w:val="ListBullet"/>
      </w:pPr>
      <w:r>
        <w:t>Independent prefill/decode elasticity is represented via PodCliqueScalingGroup with separate replicas and min targets.</w:t>
      </w:r>
    </w:p>
    <w:p>
      <w:r>
        <w:t>The diagram labels such as PodClique A/B, ScalingGroup "Prefill", ScalingGroup "Decode", and (replicas, min) represent this grouped scaling model.</w:t>
      </w:r>
    </w:p>
    <w:p>
      <w:pPr>
        <w:pStyle w:val="Heading2"/>
      </w:pPr>
      <w:r>
        <w:t>Request Routing Topologies</w:t>
      </w:r>
    </w:p>
    <w:p>
      <w:r>
        <w:t>The request plane can be exposed in two ways:</w:t>
      </w:r>
    </w:p>
    <w:p>
      <w:pPr>
        <w:pStyle w:val="ListBullet"/>
      </w:pPr>
      <w:r>
        <w:t>Dynamo-native Frontend routing — the Dynamo Frontend is the request entry point and the integrated Dynamo Router selects workers using KV-aware scoring.</w:t>
      </w:r>
    </w:p>
    <w:p>
      <w:pPr>
        <w:pStyle w:val="ListBullet"/>
      </w:pPr>
      <w:r>
        <w:t>Gateway API routing with GAIE — a Kubernetes Gateway API Inference Extension gateway calls the Dynamo Endpoint Picker Plugin (EPP), then forwards to the selected worker’s Frontend sidecar in --router-mode direct .</w:t>
      </w:r>
    </w:p>
    <w:p>
      <w:r>
        <w:t>Both topologies share the same control plane, event plane, and backend integrations; only the request entry point and routing boundary differ. See Gateway API Routing Architecture for the component and request-flow details.</w:t>
      </w:r>
    </w:p>
    <w:p>
      <w:pPr>
        <w:pStyle w:val="Heading2"/>
      </w:pPr>
      <w:r>
        <w:t>Fault Tolerance Architecture</w:t>
      </w:r>
    </w:p>
    <w:p>
      <w:r>
        <w:t>Fault tolerance is embedded across layers:</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E8EEF5"/>
          </w:tcPr>
          <w:p>
            <w:r>
              <w:rPr>
                <w:b/>
              </w:rPr>
              <w:t>Layer</w:t>
            </w:r>
          </w:p>
        </w:tc>
        <w:tc>
          <w:tcPr>
            <w:tcW w:type="dxa" w:w="3120"/>
            <w:vAlign w:val="top"/>
            <w:tcMar>
              <w:top w:w="80" w:type="dxa"/>
              <w:start w:w="120" w:type="dxa"/>
              <w:bottom w:w="80" w:type="dxa"/>
              <w:end w:w="120" w:type="dxa"/>
            </w:tcMar>
            <w:shd w:fill="E8EEF5"/>
          </w:tcPr>
          <w:p>
            <w:r>
              <w:rPr>
                <w:b/>
              </w:rPr>
              <w:t>Mechanism</w:t>
            </w:r>
          </w:p>
        </w:tc>
        <w:tc>
          <w:tcPr>
            <w:tcW w:type="dxa" w:w="3120"/>
            <w:vAlign w:val="top"/>
            <w:tcMar>
              <w:top w:w="80" w:type="dxa"/>
              <w:start w:w="120" w:type="dxa"/>
              <w:bottom w:w="80" w:type="dxa"/>
              <w:end w:w="120" w:type="dxa"/>
            </w:tcMar>
            <w:shd w:fill="E8EEF5"/>
          </w:tcPr>
          <w:p>
            <w:r>
              <w:rPr>
                <w:b/>
              </w:rPr>
              <w:t>Practical effect</w:t>
            </w:r>
          </w:p>
        </w:tc>
      </w:tr>
      <w:tr>
        <w:tc>
          <w:tcPr>
            <w:tcW w:type="dxa" w:w="3120"/>
            <w:vAlign w:val="top"/>
            <w:tcMar>
              <w:top w:w="80" w:type="dxa"/>
              <w:start w:w="120" w:type="dxa"/>
              <w:bottom w:w="80" w:type="dxa"/>
              <w:end w:w="120" w:type="dxa"/>
            </w:tcMar>
          </w:tcPr>
          <w:p>
            <w:r>
              <w:t>Request</w:t>
            </w:r>
          </w:p>
        </w:tc>
        <w:tc>
          <w:tcPr>
            <w:tcW w:type="dxa" w:w="3120"/>
            <w:vAlign w:val="top"/>
            <w:tcMar>
              <w:top w:w="80" w:type="dxa"/>
              <w:start w:w="120" w:type="dxa"/>
              <w:bottom w:w="80" w:type="dxa"/>
              <w:end w:w="120" w:type="dxa"/>
            </w:tcMar>
          </w:tcPr>
          <w:p>
            <w:r>
              <w:t>Migration, cancellation</w:t>
            </w:r>
          </w:p>
        </w:tc>
        <w:tc>
          <w:tcPr>
            <w:tcW w:type="dxa" w:w="3120"/>
            <w:vAlign w:val="top"/>
            <w:tcMar>
              <w:top w:w="80" w:type="dxa"/>
              <w:start w:w="120" w:type="dxa"/>
              <w:bottom w:w="80" w:type="dxa"/>
              <w:end w:w="120" w:type="dxa"/>
            </w:tcMar>
          </w:tcPr>
          <w:p>
            <w:r>
              <w:t>In-flight work can continue or terminate intentionally</w:t>
            </w:r>
          </w:p>
        </w:tc>
      </w:tr>
      <w:tr>
        <w:tc>
          <w:tcPr>
            <w:tcW w:type="dxa" w:w="3120"/>
            <w:vAlign w:val="top"/>
            <w:tcMar>
              <w:top w:w="80" w:type="dxa"/>
              <w:start w:w="120" w:type="dxa"/>
              <w:bottom w:w="80" w:type="dxa"/>
              <w:end w:w="120" w:type="dxa"/>
            </w:tcMar>
          </w:tcPr>
          <w:p>
            <w:r>
              <w:t>Worker</w:t>
            </w:r>
          </w:p>
        </w:tc>
        <w:tc>
          <w:tcPr>
            <w:tcW w:type="dxa" w:w="3120"/>
            <w:vAlign w:val="top"/>
            <w:tcMar>
              <w:top w:w="80" w:type="dxa"/>
              <w:start w:w="120" w:type="dxa"/>
              <w:bottom w:w="80" w:type="dxa"/>
              <w:end w:w="120" w:type="dxa"/>
            </w:tcMar>
          </w:tcPr>
          <w:p>
            <w:r>
              <w:t>Health checks, graceful shutdown, endpoint draining</w:t>
            </w:r>
          </w:p>
        </w:tc>
        <w:tc>
          <w:tcPr>
            <w:tcW w:type="dxa" w:w="3120"/>
            <w:vAlign w:val="top"/>
            <w:tcMar>
              <w:top w:w="80" w:type="dxa"/>
              <w:start w:w="120" w:type="dxa"/>
              <w:bottom w:w="80" w:type="dxa"/>
              <w:end w:w="120" w:type="dxa"/>
            </w:tcMar>
          </w:tcPr>
          <w:p>
            <w:r>
              <w:t>Failed/terminating workers stop taking new traffic safely</w:t>
            </w:r>
          </w:p>
        </w:tc>
      </w:tr>
      <w:tr>
        <w:tc>
          <w:tcPr>
            <w:tcW w:type="dxa" w:w="3120"/>
            <w:vAlign w:val="top"/>
            <w:tcMar>
              <w:top w:w="80" w:type="dxa"/>
              <w:start w:w="120" w:type="dxa"/>
              <w:bottom w:w="80" w:type="dxa"/>
              <w:end w:w="120" w:type="dxa"/>
            </w:tcMar>
          </w:tcPr>
          <w:p>
            <w:r>
              <w:t>System</w:t>
            </w:r>
          </w:p>
        </w:tc>
        <w:tc>
          <w:tcPr>
            <w:tcW w:type="dxa" w:w="3120"/>
            <w:vAlign w:val="top"/>
            <w:tcMar>
              <w:top w:w="80" w:type="dxa"/>
              <w:start w:w="120" w:type="dxa"/>
              <w:bottom w:w="80" w:type="dxa"/>
              <w:end w:w="120" w:type="dxa"/>
            </w:tcMar>
          </w:tcPr>
          <w:p>
            <w:r>
              <w:t>Request rejection/load shedding</w:t>
            </w:r>
          </w:p>
        </w:tc>
        <w:tc>
          <w:tcPr>
            <w:tcW w:type="dxa" w:w="3120"/>
            <w:vAlign w:val="top"/>
            <w:tcMar>
              <w:top w:w="80" w:type="dxa"/>
              <w:start w:w="120" w:type="dxa"/>
              <w:bottom w:w="80" w:type="dxa"/>
              <w:end w:w="120" w:type="dxa"/>
            </w:tcMar>
          </w:tcPr>
          <w:p>
            <w:r>
              <w:t>Prevents overload from propagating across workers</w:t>
            </w:r>
          </w:p>
        </w:tc>
      </w:tr>
      <w:tr>
        <w:tc>
          <w:tcPr>
            <w:tcW w:type="dxa" w:w="3120"/>
            <w:vAlign w:val="top"/>
            <w:tcMar>
              <w:top w:w="80" w:type="dxa"/>
              <w:start w:w="120" w:type="dxa"/>
              <w:bottom w:w="80" w:type="dxa"/>
              <w:end w:w="120" w:type="dxa"/>
            </w:tcMar>
          </w:tcPr>
          <w:p>
            <w:r>
              <w:t>Infrastructure</w:t>
            </w:r>
          </w:p>
        </w:tc>
        <w:tc>
          <w:tcPr>
            <w:tcW w:type="dxa" w:w="3120"/>
            <w:vAlign w:val="top"/>
            <w:tcMar>
              <w:top w:w="80" w:type="dxa"/>
              <w:start w:w="120" w:type="dxa"/>
              <w:bottom w:w="80" w:type="dxa"/>
              <w:end w:w="120" w:type="dxa"/>
            </w:tcMar>
          </w:tcPr>
          <w:p>
            <w:r>
              <w:t>Discovery lease expiry, event-path recovery</w:t>
            </w:r>
          </w:p>
        </w:tc>
        <w:tc>
          <w:tcPr>
            <w:tcW w:type="dxa" w:w="3120"/>
            <w:vAlign w:val="top"/>
            <w:tcMar>
              <w:top w:w="80" w:type="dxa"/>
              <w:start w:w="120" w:type="dxa"/>
              <w:bottom w:w="80" w:type="dxa"/>
              <w:end w:w="120" w:type="dxa"/>
            </w:tcMar>
          </w:tcPr>
          <w:p>
            <w:r>
              <w:t>Stale membership is removed and traffic reroutes</w:t>
            </w:r>
          </w:p>
        </w:tc>
      </w:tr>
    </w:tbl>
    <w:p>
      <w:pPr>
        <w:spacing w:after="40"/>
      </w:pPr>
    </w:p>
    <w:p>
      <w:r>
        <w:t>This model assumes failures are routine, not exceptional.</w:t>
      </w:r>
    </w:p>
    <w:p>
      <w:pPr>
        <w:pStyle w:val="Heading2"/>
      </w:pPr>
      <w:r>
        <w:t>Performance Rationale</w:t>
      </w:r>
    </w:p>
    <w:p>
      <w:pPr>
        <w:pStyle w:val="Heading3"/>
      </w:pPr>
      <w:r>
        <w:t>Disaggregated Serving</w:t>
      </w:r>
    </w:p>
    <w:p>
      <w:r>
        <w:t>Separating prefill and decode improves utilization and enables phase-specific scaling.</w:t>
      </w:r>
    </w:p>
    <w:p>
      <w:r>
        <w:t>Tested on H100 with R1 Distilled Llama 70B FP8 on vLLM. 3K ISL / 150 OSL.</w:t>
      </w:r>
    </w:p>
    <w:p>
      <w:pPr>
        <w:pStyle w:val="Heading3"/>
      </w:pPr>
      <w:r>
        <w:t>KV-Aware Routing</w:t>
      </w:r>
    </w:p>
    <w:p>
      <w:r>
        <w:t>Routing with cache overlap + load signals reduces prefill recomputation and improves latency. For an external production case study, see How Baseten achieved 2x faster inference with NVIDIA Dynamo.</w:t>
      </w:r>
    </w:p>
    <w:p>
      <w:r>
        <w:t>Tested with 100K requests to R1 using R1 Distilled Llama 70B FP8 on 2 H100 nodes. Avg 4K ISL / 800 OSL.</w:t>
      </w:r>
    </w:p>
    <w:p>
      <w:pPr>
        <w:pStyle w:val="Heading3"/>
      </w:pPr>
      <w:r>
        <w:t>KV Block Manager (KVBM)</w:t>
      </w:r>
    </w:p>
    <w:p>
      <w:r>
        <w:t>KVBM extends effective cache capacity using multi-tier memory offload/recall.</w:t>
      </w:r>
    </w:p>
    <w:p>
      <w:r>
        <w:t>Tested across QPS values using Qwen3-8B on H100. Avg 20K ISL / 100 OSL.</w:t>
      </w:r>
    </w:p>
    <w:p>
      <w:pPr>
        <w:pStyle w:val="Heading3"/>
      </w:pPr>
      <w:r>
        <w:t>NIXL Data Transfer</w:t>
      </w:r>
    </w:p>
    <w:p>
      <w:r>
        <w:t>NIXL reduces KV handoff cost in distributed serving by optimizing cross-worker transfer behavior across heterogeneous memory.</w:t>
      </w:r>
    </w:p>
    <w:p>
      <w:pPr>
        <w:pStyle w:val="Heading2"/>
      </w:pPr>
      <w:r>
        <w:t>Implementation Model</w:t>
      </w:r>
    </w:p>
    <w:p>
      <w:pPr>
        <w:pStyle w:val="ListBullet"/>
      </w:pPr>
      <w:r>
        <w:t>Rust for performance-sensitive runtime components.</w:t>
      </w:r>
    </w:p>
    <w:p>
      <w:pPr>
        <w:pStyle w:val="ListBullet"/>
      </w:pPr>
      <w:r>
        <w:t>Python for backend integration and extensibility.</w:t>
      </w:r>
    </w:p>
    <w:p>
      <w:pPr>
        <w:pStyle w:val="ListBullet"/>
      </w:pPr>
      <w:r>
        <w:t>Modular subsystem boundaries so routing, planning, memory, and transport can evolve independently.</w:t>
      </w:r>
    </w:p>
    <w:p>
      <w:pPr>
        <w:pStyle w:val="Heading2"/>
      </w:pPr>
      <w:r>
        <w:t>Related Documentation</w:t>
      </w:r>
    </w:p>
    <w:p>
      <w:pPr>
        <w:pStyle w:val="ListBullet"/>
      </w:pPr>
      <w:r>
        <w:t>Architecture Flow</w:t>
      </w:r>
    </w:p>
    <w:p>
      <w:pPr>
        <w:pStyle w:val="ListBullet"/>
      </w:pPr>
      <w:r>
        <w:t>Router Design</w:t>
      </w:r>
    </w:p>
    <w:p>
      <w:pPr>
        <w:pStyle w:val="ListBullet"/>
      </w:pPr>
      <w:r>
        <w:t>Planner Design</w:t>
      </w:r>
    </w:p>
    <w:p>
      <w:pPr>
        <w:pStyle w:val="ListBullet"/>
      </w:pPr>
      <w:r>
        <w:t>Discovery Plane</w:t>
      </w:r>
    </w:p>
    <w:p>
      <w:pPr>
        <w:pStyle w:val="ListBullet"/>
      </w:pPr>
      <w:r>
        <w:t>Event Plane</w:t>
      </w:r>
    </w:p>
    <w:p>
      <w:pPr>
        <w:pStyle w:val="ListBullet"/>
      </w:pPr>
      <w:r>
        <w:t>Request Plane</w:t>
      </w:r>
    </w:p>
    <w:p>
      <w:pPr>
        <w:pStyle w:val="ListBullet"/>
      </w:pPr>
      <w:r>
        <w:t>Fault Tolerance</w:t>
      </w:r>
    </w:p>
    <w:p>
      <w:pPr>
        <w:pStyle w:val="ListBullet"/>
      </w:pPr>
      <w:r>
        <w:t>Grove</w:t>
      </w:r>
    </w:p>
    <w:p>
      <w:pPr>
        <w:pStyle w:val="Heading2"/>
      </w:pPr>
      <w:r>
        <w:t>Acknowledgements</w:t>
      </w:r>
    </w:p>
    <w:p>
      <w:r>
        <w:t>Dynamo is informed by prior open-source work from:</w:t>
      </w:r>
    </w:p>
    <w:p>
      <w:pPr>
        <w:pStyle w:val="ListBullet"/>
      </w:pPr>
      <w:r>
        <w:t>vLLM</w:t>
      </w:r>
    </w:p>
    <w:p>
      <w:pPr>
        <w:pStyle w:val="ListBullet"/>
      </w:pPr>
      <w:r>
        <w:t>SGLang</w:t>
      </w:r>
    </w:p>
    <w:p>
      <w:pPr>
        <w:pStyle w:val="ListBullet"/>
      </w:pPr>
      <w:r>
        <w:t>DistServe</w:t>
      </w:r>
    </w:p>
    <w:p>
      <w:pPr>
        <w:pStyle w:val="ListBullet"/>
      </w:pPr>
      <w:r>
        <w:t>Mooncake</w:t>
      </w:r>
    </w:p>
    <w:p>
      <w:pPr>
        <w:pStyle w:val="ListBullet"/>
      </w:pPr>
      <w:r>
        <w:t>AIBrix</w:t>
      </w:r>
    </w:p>
    <w:p>
      <w:pPr>
        <w:pStyle w:val="ListBullet"/>
      </w:pPr>
      <w:r>
        <w:t>BentoML</w:t>
      </w:r>
    </w:p>
    <w:p>
      <w:pPr>
        <w:sectPr>
          <w:headerReference w:type="default" r:id="rId9"/>
          <w:footerReference w:type="default" r:id="rId10"/>
          <w:pgSz w:w="12240" w:h="15840"/>
          <w:pgMar w:top="1152" w:right="1440" w:bottom="1080" w:left="1440" w:header="432" w:footer="432" w:gutter="0"/>
          <w:cols w:space="720"/>
          <w:docGrid w:linePitch="360"/>
        </w:sectPr>
      </w:pPr>
    </w:p>
    <w:p>
      <w:pPr>
        <w:pStyle w:val="Heading1"/>
      </w:pPr>
      <w:r>
        <w:t>KV-Aware Routing on Kubernetes</w:t>
      </w:r>
    </w:p>
    <w:p>
      <w:pPr>
        <w:spacing w:after="160"/>
      </w:pPr>
      <w:r>
        <w:rPr>
          <w:color w:val="595959"/>
          <w:sz w:val="18"/>
        </w:rPr>
        <w:t>Official source: https://docs.nvidia.com/dynamo/dev/kubernetes/kv-aware-routing/overview</w:t>
      </w:r>
    </w:p>
    <w:p>
      <w:r>
        <w:t>Choose where Dynamo makes cache-aware worker-selection decisions in a Kubernetes deployment.</w:t>
      </w:r>
    </w:p>
    <w:p>
      <w:r>
        <w:t>Dynamo supports two KV-aware request-routing topologies on Kubernetes. They use the same routing concepts but place worker selection in different components. Choose based on how your platform accepts and governs traffic, not because one topology uses a different KV-routing algorithm.</w:t>
      </w:r>
    </w:p>
    <w:p>
      <w:pPr>
        <w:pStyle w:val="Heading2"/>
      </w:pPr>
      <w:r>
        <w:t>Recommendation</w:t>
      </w:r>
    </w:p>
    <w:p>
      <w:r>
        <w:t>Use Dynamo Frontend routing unless your platform already needs Kubernetes Gateway API. It has fewer components, requires no Gateway API installation, and works with a standard DynamoGraphDeployment.</w:t>
      </w:r>
    </w:p>
    <w:p>
      <w:r>
        <w:t>Use Gateway API routing when the Gateway must own the external request path—for example, when a platform team standardizes ingress, authentication, rate limiting, traffic policy, or gateway-level telemetry through Gateway API.</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vAlign w:val="top"/>
            <w:tcMar>
              <w:top w:w="80" w:type="dxa"/>
              <w:start w:w="120" w:type="dxa"/>
              <w:bottom w:w="80" w:type="dxa"/>
              <w:end w:w="120" w:type="dxa"/>
            </w:tcMar>
            <w:shd w:fill="E8EEF5"/>
          </w:tcPr>
          <w:p>
            <w:r>
              <w:rPr>
                <w:b/>
              </w:rPr>
              <w:t>Choose</w:t>
            </w:r>
          </w:p>
        </w:tc>
        <w:tc>
          <w:tcPr>
            <w:tcW w:type="dxa" w:w="2340"/>
            <w:vAlign w:val="top"/>
            <w:tcMar>
              <w:top w:w="80" w:type="dxa"/>
              <w:start w:w="120" w:type="dxa"/>
              <w:bottom w:w="80" w:type="dxa"/>
              <w:end w:w="120" w:type="dxa"/>
            </w:tcMar>
            <w:shd w:fill="E8EEF5"/>
          </w:tcPr>
          <w:p>
            <w:r>
              <w:rPr>
                <w:b/>
              </w:rPr>
              <w:t>When it fits</w:t>
            </w:r>
          </w:p>
        </w:tc>
        <w:tc>
          <w:tcPr>
            <w:tcW w:type="dxa" w:w="2340"/>
            <w:vAlign w:val="top"/>
            <w:tcMar>
              <w:top w:w="80" w:type="dxa"/>
              <w:start w:w="120" w:type="dxa"/>
              <w:bottom w:w="80" w:type="dxa"/>
              <w:end w:w="120" w:type="dxa"/>
            </w:tcMar>
            <w:shd w:fill="E8EEF5"/>
          </w:tcPr>
          <w:p>
            <w:r>
              <w:rPr>
                <w:b/>
              </w:rPr>
              <w:t>Additional infrastructure</w:t>
            </w:r>
          </w:p>
        </w:tc>
        <w:tc>
          <w:tcPr>
            <w:tcW w:type="dxa" w:w="2340"/>
            <w:vAlign w:val="top"/>
            <w:tcMar>
              <w:top w:w="80" w:type="dxa"/>
              <w:start w:w="120" w:type="dxa"/>
              <w:bottom w:w="80" w:type="dxa"/>
              <w:end w:w="120" w:type="dxa"/>
            </w:tcMar>
            <w:shd w:fill="E8EEF5"/>
          </w:tcPr>
          <w:p>
            <w:r>
              <w:rPr>
                <w:b/>
              </w:rPr>
              <w:t>Where routing is configured</w:t>
            </w:r>
          </w:p>
        </w:tc>
      </w:tr>
      <w:tr>
        <w:tc>
          <w:tcPr>
            <w:tcW w:type="dxa" w:w="2340"/>
            <w:vAlign w:val="top"/>
            <w:tcMar>
              <w:top w:w="80" w:type="dxa"/>
              <w:start w:w="120" w:type="dxa"/>
              <w:bottom w:w="80" w:type="dxa"/>
              <w:end w:w="120" w:type="dxa"/>
            </w:tcMar>
          </w:tcPr>
          <w:p>
            <w:r>
              <w:t>Using the Dynamo Frontend</w:t>
            </w:r>
          </w:p>
        </w:tc>
        <w:tc>
          <w:tcPr>
            <w:tcW w:type="dxa" w:w="2340"/>
            <w:vAlign w:val="top"/>
            <w:tcMar>
              <w:top w:w="80" w:type="dxa"/>
              <w:start w:w="120" w:type="dxa"/>
              <w:bottom w:w="80" w:type="dxa"/>
              <w:end w:w="120" w:type="dxa"/>
            </w:tcMar>
          </w:tcPr>
          <w:p>
            <w:r>
              <w:t>Clients can call one Dynamo Frontend Service directly and you want the simplest deployment.</w:t>
            </w:r>
          </w:p>
        </w:tc>
        <w:tc>
          <w:tcPr>
            <w:tcW w:type="dxa" w:w="2340"/>
            <w:vAlign w:val="top"/>
            <w:tcMar>
              <w:top w:w="80" w:type="dxa"/>
              <w:start w:w="120" w:type="dxa"/>
              <w:bottom w:w="80" w:type="dxa"/>
              <w:end w:w="120" w:type="dxa"/>
            </w:tcMar>
          </w:tcPr>
          <w:p>
            <w:r>
              <w:t>None beyond the normal Dynamo platform.</w:t>
            </w:r>
          </w:p>
        </w:tc>
        <w:tc>
          <w:tcPr>
            <w:tcW w:type="dxa" w:w="2340"/>
            <w:vAlign w:val="top"/>
            <w:tcMar>
              <w:top w:w="80" w:type="dxa"/>
              <w:start w:w="120" w:type="dxa"/>
              <w:bottom w:w="80" w:type="dxa"/>
              <w:end w:w="120" w:type="dxa"/>
            </w:tcMar>
          </w:tcPr>
          <w:p>
            <w:r>
              <w:t>Frontend with --router-mode kv.</w:t>
            </w:r>
          </w:p>
        </w:tc>
      </w:tr>
      <w:tr>
        <w:tc>
          <w:tcPr>
            <w:tcW w:type="dxa" w:w="2340"/>
            <w:vAlign w:val="top"/>
            <w:tcMar>
              <w:top w:w="80" w:type="dxa"/>
              <w:start w:w="120" w:type="dxa"/>
              <w:bottom w:w="80" w:type="dxa"/>
              <w:end w:w="120" w:type="dxa"/>
            </w:tcMar>
          </w:tcPr>
          <w:p>
            <w:r>
              <w:t>Using GAIE with Dynamo</w:t>
            </w:r>
          </w:p>
        </w:tc>
        <w:tc>
          <w:tcPr>
            <w:tcW w:type="dxa" w:w="2340"/>
            <w:vAlign w:val="top"/>
            <w:tcMar>
              <w:top w:w="80" w:type="dxa"/>
              <w:start w:w="120" w:type="dxa"/>
              <w:bottom w:w="80" w:type="dxa"/>
              <w:end w:w="120" w:type="dxa"/>
            </w:tcMar>
          </w:tcPr>
          <w:p>
            <w:r>
              <w:t>Traffic must enter through a Kubernetes Gateway or share platform-managed gateway policy.</w:t>
            </w:r>
          </w:p>
        </w:tc>
        <w:tc>
          <w:tcPr>
            <w:tcW w:type="dxa" w:w="2340"/>
            <w:vAlign w:val="top"/>
            <w:tcMar>
              <w:top w:w="80" w:type="dxa"/>
              <w:start w:w="120" w:type="dxa"/>
              <w:bottom w:w="80" w:type="dxa"/>
              <w:end w:w="120" w:type="dxa"/>
            </w:tcMar>
          </w:tcPr>
          <w:p>
            <w:r>
              <w:t>Gateway API, GAIE, a compatible Gateway implementation, and a Dynamo EPP.</w:t>
            </w:r>
          </w:p>
        </w:tc>
        <w:tc>
          <w:tcPr>
            <w:tcW w:type="dxa" w:w="2340"/>
            <w:vAlign w:val="top"/>
            <w:tcMar>
              <w:top w:w="80" w:type="dxa"/>
              <w:start w:w="120" w:type="dxa"/>
              <w:bottom w:w="80" w:type="dxa"/>
              <w:end w:w="120" w:type="dxa"/>
            </w:tcMar>
          </w:tcPr>
          <w:p>
            <w:r>
              <w:t>EPP; worker Frontend sidecars use --router-mode direct.</w:t>
            </w:r>
          </w:p>
        </w:tc>
      </w:tr>
      <w:tr>
        <w:tc>
          <w:tcPr>
            <w:tcW w:type="dxa" w:w="2340"/>
            <w:vAlign w:val="top"/>
            <w:tcMar>
              <w:top w:w="80" w:type="dxa"/>
              <w:start w:w="120" w:type="dxa"/>
              <w:bottom w:w="80" w:type="dxa"/>
              <w:end w:w="120" w:type="dxa"/>
            </w:tcMar>
          </w:tcPr>
          <w:p>
            <w:r>
              <w:t>Using GAIE with vanilla vLLM</w:t>
            </w:r>
          </w:p>
        </w:tc>
        <w:tc>
          <w:tcPr>
            <w:tcW w:type="dxa" w:w="2340"/>
            <w:vAlign w:val="top"/>
            <w:tcMar>
              <w:top w:w="80" w:type="dxa"/>
              <w:start w:w="120" w:type="dxa"/>
              <w:bottom w:w="80" w:type="dxa"/>
              <w:end w:w="120" w:type="dxa"/>
            </w:tcMar>
          </w:tcPr>
          <w:p>
            <w:r>
              <w:t>You already run upstream vLLM pods and want to add Dynamo’s advanced KV-aware routing without migrating the fleet to Dynamo workers.</w:t>
            </w:r>
          </w:p>
        </w:tc>
        <w:tc>
          <w:tcPr>
            <w:tcW w:type="dxa" w:w="2340"/>
            <w:vAlign w:val="top"/>
            <w:tcMar>
              <w:top w:w="80" w:type="dxa"/>
              <w:start w:w="120" w:type="dxa"/>
              <w:bottom w:w="80" w:type="dxa"/>
              <w:end w:w="120" w:type="dxa"/>
            </w:tcMar>
          </w:tcPr>
          <w:p>
            <w:r>
              <w:t>Gateway API, GAIE, a compatible Gateway implementation, and standalone Dynamo EPP support.</w:t>
            </w:r>
          </w:p>
        </w:tc>
        <w:tc>
          <w:tcPr>
            <w:tcW w:type="dxa" w:w="2340"/>
            <w:vAlign w:val="top"/>
            <w:tcMar>
              <w:top w:w="80" w:type="dxa"/>
              <w:start w:w="120" w:type="dxa"/>
              <w:bottom w:w="80" w:type="dxa"/>
              <w:end w:w="120" w:type="dxa"/>
            </w:tcMar>
          </w:tcPr>
          <w:p>
            <w:r>
              <w:t>EPP with direct vLLM worker discovery and vLLM token rendering.</w:t>
            </w:r>
          </w:p>
        </w:tc>
      </w:tr>
    </w:tbl>
    <w:p>
      <w:pPr>
        <w:spacing w:after="40"/>
      </w:pPr>
    </w:p>
    <w:p>
      <w:r>
        <w:t>The Frontend and GAIE topologies are alternatives for a request path. Do not configure the Frontend to select a worker after the EPP has already selected one.</w:t>
      </w:r>
    </w:p>
    <w:p>
      <w:pPr>
        <w:pStyle w:val="Heading2"/>
      </w:pPr>
      <w:r>
        <w:t>Dynamo Frontend Routing</w:t>
      </w:r>
    </w:p>
    <w:p>
      <w:r>
        <w:t>The Dynamo Frontend receives the client request, tokenizes it, scores eligible workers, and forwards the request to the selected worker. Router flags and environment variables belong on the Frontend component.</w:t>
      </w:r>
    </w:p>
    <w:p>
      <w:r>
        <w:t>Choose this topology when:</w:t>
      </w:r>
    </w:p>
    <w:p>
      <w:pPr>
        <w:pStyle w:val="ListBullet"/>
      </w:pPr>
      <w:r>
        <w:t>Each deployment can expose its own Frontend Service.</w:t>
      </w:r>
    </w:p>
    <w:p>
      <w:pPr>
        <w:pStyle w:val="ListBullet"/>
      </w:pPr>
      <w:r>
        <w:t>You do not need Gateway API policy in the request path.</w:t>
      </w:r>
    </w:p>
    <w:p>
      <w:pPr>
        <w:pStyle w:val="ListBullet"/>
      </w:pPr>
      <w:r>
        <w:t>You want the fewest routing components to install and operate.</w:t>
      </w:r>
    </w:p>
    <w:p>
      <w:pPr>
        <w:pStyle w:val="ListBullet"/>
      </w:pPr>
      <w:r>
        <w:t>Dynamo should own both HTTP request handling and worker selection.</w:t>
      </w:r>
    </w:p>
    <w:p>
      <w:r>
        <w:t>This topology works out of the box with the normal Dynamo platform; no Gateway API components are required. Use the Dynamo Frontend to enable KV-aware worker selection in a DGD.</w:t>
      </w:r>
    </w:p>
    <w:p>
      <w:pPr>
        <w:pStyle w:val="Heading2"/>
      </w:pPr>
      <w:r>
        <w:t>GAIE Routing</w:t>
      </w:r>
    </w:p>
    <w:p>
      <w:r>
        <w:t>Gateway API routing separates traffic entry from worker selection. A Kubernetes Gateway receives the request and asks the Dynamo Endpoint Picker Plugin (EPP) to select an endpoint before forwarding the request to a worker pod.</w:t>
      </w:r>
    </w:p>
    <w:p>
      <w:r>
        <w:t>Choose this topology when:</w:t>
      </w:r>
    </w:p>
    <w:p>
      <w:pPr>
        <w:pStyle w:val="ListBullet"/>
      </w:pPr>
      <w:r>
        <w:t>Your organization already uses Gateway API as the standard ingress layer.</w:t>
      </w:r>
    </w:p>
    <w:p>
      <w:pPr>
        <w:pStyle w:val="ListBullet"/>
      </w:pPr>
      <w:r>
        <w:t>Authentication, authorization, rate limiting, traffic policy, or telemetry belongs at the Gateway.</w:t>
      </w:r>
    </w:p>
    <w:p>
      <w:pPr>
        <w:pStyle w:val="ListBullet"/>
      </w:pPr>
      <w:r>
        <w:t>Multiple model routes should share a platform-managed address and listener.</w:t>
      </w:r>
    </w:p>
    <w:p>
      <w:pPr>
        <w:pStyle w:val="ListBullet"/>
      </w:pPr>
      <w:r>
        <w:t>A platform team manages the Gateway while an application team manages the DGD and HTTPRoute .</w:t>
      </w:r>
    </w:p>
    <w:p>
      <w:r>
        <w:t>Gateway API routing requires a separate installation. See Install Gateway API Inference Extension, then GAIE with Dynamo or GAIE with vanilla vLLM.</w:t>
      </w:r>
    </w:p>
    <w:p>
      <w:pPr>
        <w:pStyle w:val="Heading2"/>
      </w:pPr>
      <w:r>
        <w:t>What Is the Dynamo EPP?</w:t>
      </w:r>
    </w:p>
    <w:p>
      <w:r>
        <w:t>The Dynamo Endpoint Picker Plugin (EPP) is a service that implements the GAIE endpoint-selection protocol. The Gateway calls it before forwarding an inference request. The EPP tokenizes the request, reads Dynamo worker and KV cache state, scores eligible endpoints, and returns the selected worker to the Gateway.</w:t>
      </w:r>
    </w:p>
    <w:p>
      <w:r>
        <w:t>The EPP is not a public inference endpoint and does not run the model. The Dynamo operator deploys it when a DGD contains a component with type: epp. In this topology, worker Frontend sidecars run with --router-mode direct because the EPP has already made the routing decision.</w:t>
      </w:r>
    </w:p>
    <w:p>
      <w:r>
        <w:t>For the full request and state flow, see Gateway API Routing Architecture.</w:t>
      </w:r>
    </w:p>
    <w:p>
      <w:pPr>
        <w:pStyle w:val="Heading2"/>
      </w:pPr>
      <w:r>
        <w:t>Shared Routing Behavior</w:t>
      </w:r>
    </w:p>
    <w:p>
      <w:r>
        <w:t>Both topologies can use worker-published KV cache events to account for prefix overlap and active load. Both can also operate with predicted state when precise KV events are unavailable. The selection algorithm and tuning concepts are shared; only the component hosting them changes.</w:t>
      </w:r>
    </w:p>
    <w:p>
      <w:r>
        <w:t>For the cost model, see Routing Concepts. For shared tuning guidance, see Configuration and Tuning.</w:t>
      </w:r>
    </w:p>
    <w:p>
      <w:pPr>
        <w:sectPr>
          <w:pgSz w:w="12240" w:h="15840"/>
          <w:pgMar w:top="1152" w:right="1440" w:bottom="1080" w:left="1440" w:header="432" w:footer="432" w:gutter="0"/>
          <w:cols w:space="720"/>
          <w:docGrid w:linePitch="360"/>
        </w:sectPr>
      </w:pPr>
    </w:p>
    <w:p>
      <w:pPr>
        <w:pStyle w:val="Heading1"/>
      </w:pPr>
      <w:r>
        <w:t>Disaggregated Serving</w:t>
      </w:r>
    </w:p>
    <w:p>
      <w:pPr>
        <w:spacing w:after="160"/>
      </w:pPr>
      <w:r>
        <w:rPr>
          <w:color w:val="595959"/>
          <w:sz w:val="18"/>
        </w:rPr>
        <w:t>Official source: https://docs.nvidia.com/dynamo/dev/kubernetes/disaggregated-serving/overview</w:t>
      </w:r>
    </w:p>
    <w:p>
      <w:r>
        <w:t>Disaggregated serving separates the two phases of LLM inference into their own worker pools so you can scale, size, and place them independently:</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E8EEF5"/>
          </w:tcPr>
          <w:p>
            <w:r>
              <w:rPr>
                <w:b/>
              </w:rPr>
              <w:t>Phase</w:t>
            </w:r>
          </w:p>
        </w:tc>
        <w:tc>
          <w:tcPr>
            <w:tcW w:type="dxa" w:w="3120"/>
            <w:vAlign w:val="top"/>
            <w:tcMar>
              <w:top w:w="80" w:type="dxa"/>
              <w:start w:w="120" w:type="dxa"/>
              <w:bottom w:w="80" w:type="dxa"/>
              <w:end w:w="120" w:type="dxa"/>
            </w:tcMar>
            <w:shd w:fill="E8EEF5"/>
          </w:tcPr>
          <w:p>
            <w:r>
              <w:rPr>
                <w:b/>
              </w:rPr>
              <w:t>What it does</w:t>
            </w:r>
          </w:p>
        </w:tc>
        <w:tc>
          <w:tcPr>
            <w:tcW w:type="dxa" w:w="3120"/>
            <w:vAlign w:val="top"/>
            <w:tcMar>
              <w:top w:w="80" w:type="dxa"/>
              <w:start w:w="120" w:type="dxa"/>
              <w:bottom w:w="80" w:type="dxa"/>
              <w:end w:w="120" w:type="dxa"/>
            </w:tcMar>
            <w:shd w:fill="E8EEF5"/>
          </w:tcPr>
          <w:p>
            <w:r>
              <w:rPr>
                <w:b/>
              </w:rPr>
              <w:t>Scaling pressure</w:t>
            </w:r>
          </w:p>
        </w:tc>
      </w:tr>
      <w:tr>
        <w:tc>
          <w:tcPr>
            <w:tcW w:type="dxa" w:w="3120"/>
            <w:vAlign w:val="top"/>
            <w:tcMar>
              <w:top w:w="80" w:type="dxa"/>
              <w:start w:w="120" w:type="dxa"/>
              <w:bottom w:w="80" w:type="dxa"/>
              <w:end w:w="120" w:type="dxa"/>
            </w:tcMar>
          </w:tcPr>
          <w:p>
            <w:r>
              <w:t>Prefill</w:t>
            </w:r>
          </w:p>
        </w:tc>
        <w:tc>
          <w:tcPr>
            <w:tcW w:type="dxa" w:w="3120"/>
            <w:vAlign w:val="top"/>
            <w:tcMar>
              <w:top w:w="80" w:type="dxa"/>
              <w:start w:w="120" w:type="dxa"/>
              <w:bottom w:w="80" w:type="dxa"/>
              <w:end w:w="120" w:type="dxa"/>
            </w:tcMar>
          </w:tcPr>
          <w:p>
            <w:r>
              <w:t>Processes the prompt and produces the initial KV cache.</w:t>
            </w:r>
          </w:p>
        </w:tc>
        <w:tc>
          <w:tcPr>
            <w:tcW w:type="dxa" w:w="3120"/>
            <w:vAlign w:val="top"/>
            <w:tcMar>
              <w:top w:w="80" w:type="dxa"/>
              <w:start w:w="120" w:type="dxa"/>
              <w:bottom w:w="80" w:type="dxa"/>
              <w:end w:w="120" w:type="dxa"/>
            </w:tcMar>
          </w:tcPr>
          <w:p>
            <w:r>
              <w:t>Input length, prompt reuse, context size</w:t>
            </w:r>
          </w:p>
        </w:tc>
      </w:tr>
      <w:tr>
        <w:tc>
          <w:tcPr>
            <w:tcW w:type="dxa" w:w="3120"/>
            <w:vAlign w:val="top"/>
            <w:tcMar>
              <w:top w:w="80" w:type="dxa"/>
              <w:start w:w="120" w:type="dxa"/>
              <w:bottom w:w="80" w:type="dxa"/>
              <w:end w:w="120" w:type="dxa"/>
            </w:tcMar>
          </w:tcPr>
          <w:p>
            <w:r>
              <w:t>Decode</w:t>
            </w:r>
          </w:p>
        </w:tc>
        <w:tc>
          <w:tcPr>
            <w:tcW w:type="dxa" w:w="3120"/>
            <w:vAlign w:val="top"/>
            <w:tcMar>
              <w:top w:w="80" w:type="dxa"/>
              <w:start w:w="120" w:type="dxa"/>
              <w:bottom w:w="80" w:type="dxa"/>
              <w:end w:w="120" w:type="dxa"/>
            </w:tcMar>
          </w:tcPr>
          <w:p>
            <w:r>
              <w:t>Generates output tokens using the KV cache.</w:t>
            </w:r>
          </w:p>
        </w:tc>
        <w:tc>
          <w:tcPr>
            <w:tcW w:type="dxa" w:w="3120"/>
            <w:vAlign w:val="top"/>
            <w:tcMar>
              <w:top w:w="80" w:type="dxa"/>
              <w:start w:w="120" w:type="dxa"/>
              <w:bottom w:w="80" w:type="dxa"/>
              <w:end w:w="120" w:type="dxa"/>
            </w:tcMar>
          </w:tcPr>
          <w:p>
            <w:r>
              <w:t>Concurrency, output length, active KV memory</w:t>
            </w:r>
          </w:p>
        </w:tc>
      </w:tr>
    </w:tbl>
    <w:p>
      <w:pPr>
        <w:spacing w:after="40"/>
      </w:pPr>
    </w:p>
    <w:p>
      <w:r>
        <w:t>In an aggregated deployment, one worker does both phases. In a disaggregated deployment, prefill and decode are separate pools on separate GPUs: Dynamo routes each request through prefill first, transfers the KV cache to the decode worker, then streams the response from decode.</w:t>
      </w:r>
    </w:p>
    <w:p>
      <w:r>
        <w:t>Structurally, that difference is one worker versus two. The rest of the DynamoGraphDeployment (DGD) is the same:</w:t>
      </w:r>
    </w:p>
    <w:p>
      <w:pPr>
        <w:pStyle w:val="Heading4"/>
      </w:pPr>
      <w:r>
        <w:t>Aggregated (1 worker)</w:t>
      </w:r>
    </w:p>
    <w:p>
      <w:pPr>
        <w:pStyle w:val="Heading4"/>
      </w:pPr>
      <w:r>
        <w:t>Disaggregated (prefill + decode)</w:t>
      </w:r>
    </w:p>
    <w:p>
      <w:pPr>
        <w:pStyle w:val="CodeBlock"/>
        <w:shd w:fill="F3F5F7"/>
      </w:pPr>
      <w:r>
        <w:t>1  services:2    Frontend:3      componentType: frontend4    VLLMWorker:5      componentType: worker6      # one worker does both prefill and decode</w:t>
      </w:r>
    </w:p>
    <w:p>
      <w:r>
        <w:t>This guide walks through writing the disaggregated spec end to end. If you have not authored a DGD before, read the Deploy with DGD guide first — this page assumes you know the overall shape and focuses on what disaggregation adds.</w:t>
      </w:r>
    </w:p>
    <w:p>
      <w:pPr>
        <w:pStyle w:val="Heading2"/>
      </w:pPr>
      <w:r>
        <w:t>Should you disaggregate?</w:t>
      </w:r>
    </w:p>
    <w:p>
      <w:r>
        <w:t>Disaggregation helps most when prefill and decode need different resource shapes:</w:t>
      </w:r>
    </w:p>
    <w:p>
      <w:pPr>
        <w:pStyle w:val="ListBullet"/>
      </w:pPr>
      <w:r>
        <w:t>long prompts or retrieval-heavy traffic make prefill expensive</w:t>
      </w:r>
    </w:p>
    <w:p>
      <w:pPr>
        <w:pStyle w:val="ListBullet"/>
      </w:pPr>
      <w:r>
        <w:t>long generations or high concurrency make decode the bottleneck</w:t>
      </w:r>
    </w:p>
    <w:p>
      <w:pPr>
        <w:pStyle w:val="ListBullet"/>
      </w:pPr>
      <w:r>
        <w:t>you want to scale prefill and decode replicas independently</w:t>
      </w:r>
    </w:p>
    <w:p>
      <w:pPr>
        <w:pStyle w:val="ListBullet"/>
      </w:pPr>
      <w:r>
        <w:t>large models need different parallelism for prompt processing and generation</w:t>
      </w:r>
    </w:p>
    <w:p>
      <w:r>
        <w:t>It is not automatically better. For small models, short prompts, low concurrency, or clusters without a fast KV-transfer fabric, an aggregated deployment is simpler and often faster. Use Sizing with AIConfigurator to compare aggregated vs. disaggregated layouts before committing.</w:t>
      </w:r>
    </w:p>
    <w:p>
      <w:r>
        <w:t>This guide uses a single-node, multi-GPU example — prefill and decode run on separate GPUs in the same node (for instance, a node with 8×H100 serving Qwen3-32B, one GPU per worker). On a single node the KV cache moves GPU-to-GPU over NVLink, so there is nothing extra to configure for the transport. Scaling prefill and decode across multiple nodes adds RDMA networking — see Enable multi-node transfer at the end.</w:t>
      </w:r>
    </w:p>
    <w:p>
      <w:pPr>
        <w:pStyle w:val="Heading2"/>
      </w:pPr>
      <w:r>
        <w:t>Write the deployment</w:t>
      </w:r>
    </w:p>
    <w:p>
      <w:pPr>
        <w:pStyle w:val="Heading3"/>
      </w:pPr>
      <w:r>
        <w:t>Check prerequisites</w:t>
      </w:r>
    </w:p>
    <w:p>
      <w:r>
        <w:t>For the single-node example in this guide you need:</w:t>
      </w:r>
    </w:p>
    <w:p>
      <w:pPr>
        <w:pStyle w:val="ListNumber"/>
      </w:pPr>
      <w:r>
        <w:t>A node with multiple GPUs — one per prefill and decode worker (this example uses 8×H100 with gpu: "1" per worker).</w:t>
      </w:r>
    </w:p>
    <w:p>
      <w:pPr>
        <w:pStyle w:val="ListNumber"/>
      </w:pPr>
      <w:r>
        <w:t>ETCD and NATS deployed for Dynamo coordination.</w:t>
      </w:r>
    </w:p>
    <w:p>
      <w:pPr>
        <w:pStyle w:val="ListNumber"/>
      </w:pPr>
      <w:r>
        <w:t>A HuggingFace token secret ( hf-token-secret ) if the model is gated.</w:t>
      </w:r>
    </w:p>
    <w:p>
      <w:r>
        <w:t>Model caching (the PVC and HF_HOME wiring the workers mount) is configured separately — see Model caching. This guide omits those fields for clarity; without them the model downloads to the container’s default cache.</w:t>
      </w:r>
    </w:p>
    <w:p>
      <w:r>
        <w:t>Scaling across multiple nodes additionally requires an RDMA-capable network and device plugin — covered in Enable multi-node transfer.</w:t>
      </w:r>
    </w:p>
    <w:p>
      <w:pPr>
        <w:pStyle w:val="Heading3"/>
      </w:pPr>
      <w:r>
        <w:t>Start the spec: the frontend</w:t>
      </w:r>
    </w:p>
    <w:p>
      <w:r>
        <w:t>Begin with the DGD skeleton — just a frontend. This is identical to an aggregated deployment; nothing about disaggregation changes it.</w:t>
      </w:r>
    </w:p>
    <w:p>
      <w:pPr>
        <w:pStyle w:val="CodeBlock"/>
        <w:shd w:fill="F3F5F7"/>
      </w:pPr>
      <w:r>
        <w:t>1apiVersion: nvidia.com/v1alpha12kind: DynamoGraphDeployment3metadata:4  name: dynamo-disagg5  namespace: your-namespace6spec:7  backendFramework: vllm8  services:9    Frontend:10      componentType: frontend11      replicas: 112      extraPodSpec:13        mainContainer:14          image: nvcr.io/nvidia/ai-dynamo/vllm-runtime:1.2.115          imagePullPolicy: IfNotPresent</w:t>
      </w:r>
    </w:p>
    <w:p>
      <w:pPr>
        <w:pStyle w:val="Heading3"/>
      </w:pPr>
      <w:r>
        <w:t>Add the prefill worker</w:t>
      </w:r>
    </w:p>
    <w:p>
      <w:r>
        <w:t>The prefill worker runs the prompt phase. Two things make it a prefill worker rather than a plain worker:</w:t>
      </w:r>
    </w:p>
    <w:p>
      <w:pPr>
        <w:pStyle w:val="ListBullet"/>
      </w:pPr>
      <w:r>
        <w:t>subComponentType: prefill tags the role for the operator and router.</w:t>
      </w:r>
    </w:p>
    <w:p>
      <w:pPr>
        <w:pStyle w:val="ListBullet"/>
      </w:pPr>
      <w:r>
        <w:t>--disaggregation-mode prefill tells the engine to stop after producing the KV cache instead of generating tokens.</w:t>
      </w:r>
    </w:p>
    <w:p>
      <w:pPr>
        <w:pStyle w:val="CodeBlock"/>
        <w:shd w:fill="F3F5F7"/>
      </w:pPr>
      <w:r>
        <w:t>1    VLLMPrefillWorker:2      envFromSecret: hf-token-secret3      componentType: worker4      subComponentType: prefill5      replicas: 36      resources:7        limits:8          gpu: "1"9      sharedMemory:10        size: 16Gi11      extraPodSpec:12        mainContainer:13          image: nvcr.io/nvidia/ai-dynamo/vllm-runtime:1.2.114          imagePullPolicy: IfNotPresent15          command: ["python3", "-m", "dynamo.vllm"]16          args:17            - --model18            - Qwen/Qwen3-32B19            - --disaggregation-mode20            - prefill</w:t>
      </w:r>
    </w:p>
    <w:p>
      <w:r>
        <w:t>Qwen3-32B fits on a single H100, so each worker takes gpu: "1" with no tensor parallelism. replicas: 3 gives three prefill workers; size the count for your prompt load independently of decode. (sharedMemory is explained in the KV transfer step.)</w:t>
      </w:r>
    </w:p>
    <w:p>
      <w:pPr>
        <w:pStyle w:val="Heading3"/>
      </w:pPr>
      <w:r>
        <w:t>Add the decode worker</w:t>
      </w:r>
    </w:p>
    <w:p>
      <w:r>
        <w:t>The decode worker continues generation after prefill hands off the KV cache. It mirrors the prefill worker with subComponentType: decode and --disaggregation-mode decode, and its replica count is sized for concurrency rather than prompt load.</w:t>
      </w:r>
    </w:p>
    <w:p>
      <w:pPr>
        <w:pStyle w:val="CodeBlock"/>
        <w:shd w:fill="F3F5F7"/>
      </w:pPr>
      <w:r>
        <w:t>1    VLLMDecodeWorker:2      envFromSecret: hf-token-secret3      componentType: worker4      subComponentType: decode5      replicas: 46      resources:7        limits:8          gpu: "1"9      sharedMemory:10        size: 16Gi11      extraPodSpec:12        mainContainer:13          image: nvcr.io/nvidia/ai-dynamo/vllm-runtime:1.2.114          imagePullPolicy: IfNotPresent15          command: ["python3", "-m", "dynamo.vllm"]16          args:17            - --model18            - Qwen/Qwen3-32B19            - --disaggregation-mode20            - decode</w:t>
      </w:r>
    </w:p>
    <w:p>
      <w:r>
        <w:t>Prefill and decode workers must pass the same --model (and, if you set them, the same dtype, block size, and KV layout). A mismatch means the KV cache prefill produces cannot be consumed by decode — you get transfer errors or silently corrupt output.</w:t>
      </w:r>
    </w:p>
    <w:p>
      <w:pPr>
        <w:pStyle w:val="Heading3"/>
      </w:pPr>
      <w:r>
        <w:t>Enable KV transfer</w:t>
      </w:r>
    </w:p>
    <w:p>
      <w:r>
        <w:t>Because prefill and decode run on different GPUs, the KV cache prefill produces has to be copied into the decode worker’s GPU memory before decode can generate. Dynamo’s transfer layer, NIXL, does this automatically. On a single node it selects CUDA IPC and moves the cache GPU-to-GPU over NVLink — no network, no RDMA, nothing to configure for the transport itself.</w:t>
      </w:r>
    </w:p>
    <w:p>
      <w:r>
        <w:t>The one field you do set is shared memory, already in the worker specs above:</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E8EEF5"/>
          </w:tcPr>
          <w:p>
            <w:r>
              <w:rPr>
                <w:b/>
              </w:rPr>
              <w:t>Setting</w:t>
            </w:r>
          </w:p>
        </w:tc>
        <w:tc>
          <w:tcPr>
            <w:tcW w:type="dxa" w:w="4680"/>
            <w:vAlign w:val="top"/>
            <w:tcMar>
              <w:top w:w="80" w:type="dxa"/>
              <w:start w:w="120" w:type="dxa"/>
              <w:bottom w:w="80" w:type="dxa"/>
              <w:end w:w="120" w:type="dxa"/>
            </w:tcMar>
            <w:shd w:fill="E8EEF5"/>
          </w:tcPr>
          <w:p>
            <w:r>
              <w:rPr>
                <w:b/>
              </w:rPr>
              <w:t>Why</w:t>
            </w:r>
          </w:p>
        </w:tc>
      </w:tr>
      <w:tr>
        <w:tc>
          <w:tcPr>
            <w:tcW w:type="dxa" w:w="4680"/>
            <w:vAlign w:val="top"/>
            <w:tcMar>
              <w:top w:w="80" w:type="dxa"/>
              <w:start w:w="120" w:type="dxa"/>
              <w:bottom w:w="80" w:type="dxa"/>
              <w:end w:w="120" w:type="dxa"/>
            </w:tcMar>
          </w:tcPr>
          <w:p>
            <w:r>
              <w:t>sharedMemory.size: 16Gi</w:t>
            </w:r>
          </w:p>
        </w:tc>
        <w:tc>
          <w:tcPr>
            <w:tcW w:type="dxa" w:w="4680"/>
            <w:vAlign w:val="top"/>
            <w:tcMar>
              <w:top w:w="80" w:type="dxa"/>
              <w:start w:w="120" w:type="dxa"/>
              <w:bottom w:w="80" w:type="dxa"/>
              <w:end w:w="120" w:type="dxa"/>
            </w:tcMar>
          </w:tcPr>
          <w:p>
            <w:r>
              <w:t>NIXL stages transfer metadata through the pod’s /dev/shm. The pod default (64 MB) is too small and NIXL fails to initialize. 16Gi is comfortable headroom, not a tightly-computed per-request budget — it does not consume that memory unless needed.</w:t>
            </w:r>
          </w:p>
        </w:tc>
      </w:tr>
    </w:tbl>
    <w:p>
      <w:pPr>
        <w:spacing w:after="40"/>
      </w:pPr>
    </w:p>
    <w:p>
      <w:r>
        <w:t>That is the entire KV-transfer configuration for a single node: two workers tagged prefill/decode, matching --model, and enough shared memory for NIXL.</w:t>
      </w:r>
    </w:p>
    <w:p>
      <w:pPr>
        <w:pStyle w:val="Heading3"/>
      </w:pPr>
      <w:r>
        <w:t>Apply and verify the transfer path</w:t>
      </w:r>
    </w:p>
    <w:p>
      <w:r>
        <w:t>Apply the assembled spec:</w:t>
      </w:r>
    </w:p>
    <w:p>
      <w:pPr>
        <w:pStyle w:val="CodeBlock"/>
        <w:shd w:fill="F3F5F7"/>
      </w:pPr>
      <w:r>
        <w:t>$kubectl apply -f dynamo-disagg.yaml -n your-namespace</w:t>
      </w:r>
    </w:p>
    <w:p>
      <w:r>
        <w:t>Then confirm NIXL initialized its transfer backend — the key check for a disaggregated deployment. Grep a prefill worker’s logs:</w:t>
      </w:r>
    </w:p>
    <w:p>
      <w:pPr>
        <w:pStyle w:val="CodeBlock"/>
        <w:shd w:fill="F3F5F7"/>
      </w:pPr>
      <w:r>
        <w:t>$kubectl logs &lt;prefill-worker-pod&gt; | grep -i "NIXL"</w:t>
      </w:r>
    </w:p>
    <w:p>
      <w:r>
        <w:t>You want to see NIXL bring up a backend, for example:</w:t>
      </w:r>
    </w:p>
    <w:p>
      <w:pPr>
        <w:pStyle w:val="CodeBlock"/>
        <w:shd w:fill="F3F5F7"/>
      </w:pPr>
      <w:r>
        <w:t>NIXL INFO Backend UCX was instantiated</w:t>
      </w:r>
    </w:p>
    <w:p>
      <w:r>
        <w:t>If NIXL fails to initialize, the usual cause is sharedMemory.size left at the default. Symptoms of a broken transfer path include high TTFT despite free prefill capacity, decode workers sitting idle while prefill is busy, or disaggregated throughput falling below your aggregated baseline.</w:t>
      </w:r>
    </w:p>
    <w:p>
      <w:pPr>
        <w:pStyle w:val="Heading3"/>
      </w:pPr>
      <w:r>
        <w:t>Enable multi-node transfer</w:t>
      </w:r>
    </w:p>
    <w:p>
      <w:r>
        <w:t>Everything above keeps prefill and decode on one node, where the KV cache moves over NVLink. When a worker’s parallelism exceeds the GPUs on a node, or you want prefill and decode pools on separate machines, the KV cache travels over the network instead — and that path needs RDMA (InfiniBand or RoCE). Without it, transfers fall back to TCP and KV movement can dominate TTFT and throughput.</w:t>
      </w:r>
    </w:p>
    <w:p>
      <w:r>
        <w:t>Multi-node adds RDMA fields to each worker (rdma/ib resource requests, the IPC_LOCK capability, and UCX_* transport env vars) plus an RDMA device plugin on the cluster. That setup is out of scope here — see the Disaggregated Communication Guide for the transport configuration and Multinode Deployments for spanning workers across machines.</w:t>
      </w:r>
    </w:p>
    <w:p>
      <w:pPr>
        <w:pStyle w:val="Heading2"/>
      </w:pPr>
      <w:r>
        <w:t>Faster starting points</w:t>
      </w:r>
    </w:p>
    <w:p>
      <w:r>
        <w:t>Typing the full spec from scratch is rarely the fastest path. Copy a validated template and adapt it: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E8EEF5"/>
          </w:tcPr>
          <w:p>
            <w:r>
              <w:rPr>
                <w:b/>
              </w:rPr>
              <w:t>Starting point</w:t>
            </w:r>
          </w:p>
        </w:tc>
        <w:tc>
          <w:tcPr>
            <w:tcW w:type="dxa" w:w="4680"/>
            <w:vAlign w:val="top"/>
            <w:tcMar>
              <w:top w:w="80" w:type="dxa"/>
              <w:start w:w="120" w:type="dxa"/>
              <w:bottom w:w="80" w:type="dxa"/>
              <w:end w:w="120" w:type="dxa"/>
            </w:tcMar>
            <w:shd w:fill="E8EEF5"/>
          </w:tcPr>
          <w:p>
            <w:r>
              <w:rPr>
                <w:b/>
              </w:rPr>
              <w:t>Use when</w:t>
            </w:r>
          </w:p>
        </w:tc>
      </w:tr>
      <w:tr>
        <w:tc>
          <w:tcPr>
            <w:tcW w:type="dxa" w:w="4680"/>
            <w:vAlign w:val="top"/>
            <w:tcMar>
              <w:top w:w="80" w:type="dxa"/>
              <w:start w:w="120" w:type="dxa"/>
              <w:bottom w:w="80" w:type="dxa"/>
              <w:end w:w="120" w:type="dxa"/>
            </w:tcMar>
          </w:tcPr>
          <w:p>
            <w:r>
              <w:t>Dynamo Recipes</w:t>
            </w:r>
          </w:p>
        </w:tc>
        <w:tc>
          <w:tcPr>
            <w:tcW w:type="dxa" w:w="4680"/>
            <w:vAlign w:val="top"/>
            <w:tcMar>
              <w:top w:w="80" w:type="dxa"/>
              <w:start w:w="120" w:type="dxa"/>
              <w:bottom w:w="80" w:type="dxa"/>
              <w:end w:w="120" w:type="dxa"/>
            </w:tcMar>
          </w:tcPr>
          <w:p>
            <w:r>
              <w:t>A recipe matches your model, backend, and hardware. Best for validated baselines and perf.yaml benchmarks.</w:t>
            </w:r>
          </w:p>
        </w:tc>
      </w:tr>
      <w:tr>
        <w:tc>
          <w:tcPr>
            <w:tcW w:type="dxa" w:w="4680"/>
            <w:vAlign w:val="top"/>
            <w:tcMar>
              <w:top w:w="80" w:type="dxa"/>
              <w:start w:w="120" w:type="dxa"/>
              <w:bottom w:w="80" w:type="dxa"/>
              <w:end w:w="120" w:type="dxa"/>
            </w:tcMar>
          </w:tcPr>
          <w:p>
            <w:r>
              <w:t>Backend disagg.yaml templates</w:t>
            </w:r>
          </w:p>
        </w:tc>
        <w:tc>
          <w:tcPr>
            <w:tcW w:type="dxa" w:w="4680"/>
            <w:vAlign w:val="top"/>
            <w:tcMar>
              <w:top w:w="80" w:type="dxa"/>
              <w:start w:w="120" w:type="dxa"/>
              <w:bottom w:w="80" w:type="dxa"/>
              <w:end w:w="120" w:type="dxa"/>
            </w:tcMar>
          </w:tcPr>
          <w:p>
            <w:r>
              <w:t>You want a working DGD to adapt. Each backend ships disagg.yaml, disagg_router.yaml, and disagg_planner.yaml under its deploy/ folder.</w:t>
            </w:r>
          </w:p>
        </w:tc>
      </w:tr>
      <w:tr>
        <w:tc>
          <w:tcPr>
            <w:tcW w:type="dxa" w:w="4680"/>
            <w:vAlign w:val="top"/>
            <w:tcMar>
              <w:top w:w="80" w:type="dxa"/>
              <w:start w:w="120" w:type="dxa"/>
              <w:bottom w:w="80" w:type="dxa"/>
              <w:end w:w="120" w:type="dxa"/>
            </w:tcMar>
          </w:tcPr>
          <w:p>
            <w:r>
              <w:t>DGDR</w:t>
            </w:r>
          </w:p>
        </w:tc>
        <w:tc>
          <w:tcPr>
            <w:tcW w:type="dxa" w:w="4680"/>
            <w:vAlign w:val="top"/>
            <w:tcMar>
              <w:top w:w="80" w:type="dxa"/>
              <w:start w:w="120" w:type="dxa"/>
              <w:bottom w:w="80" w:type="dxa"/>
              <w:end w:w="120" w:type="dxa"/>
            </w:tcMar>
          </w:tcPr>
          <w:p>
            <w:r>
              <w:t>You want Dynamo to generate a DGD from model, backend, hardware, and SLA intent.</w:t>
            </w:r>
          </w:p>
        </w:tc>
      </w:tr>
      <w:tr>
        <w:tc>
          <w:tcPr>
            <w:tcW w:type="dxa" w:w="4680"/>
            <w:vAlign w:val="top"/>
            <w:tcMar>
              <w:top w:w="80" w:type="dxa"/>
              <w:start w:w="120" w:type="dxa"/>
              <w:bottom w:w="80" w:type="dxa"/>
              <w:end w:w="120" w:type="dxa"/>
            </w:tcMar>
          </w:tcPr>
          <w:p>
            <w:r>
              <w:t>Sizing with AIConfigurator</w:t>
            </w:r>
          </w:p>
        </w:tc>
        <w:tc>
          <w:tcPr>
            <w:tcW w:type="dxa" w:w="4680"/>
            <w:vAlign w:val="top"/>
            <w:tcMar>
              <w:top w:w="80" w:type="dxa"/>
              <w:start w:w="120" w:type="dxa"/>
              <w:bottom w:w="80" w:type="dxa"/>
              <w:end w:w="120" w:type="dxa"/>
            </w:tcMar>
          </w:tcPr>
          <w:p>
            <w:r>
              <w:t>You want to compare aggregated vs. disaggregated layouts and estimate prefill/decode sizing first.</w:t>
            </w:r>
          </w:p>
        </w:tc>
      </w:tr>
    </w:tbl>
    <w:p>
      <w:pPr>
        <w:spacing w:after="40"/>
      </w:pPr>
    </w:p>
    <w:p>
      <w:r>
        <w:t>Good recipe starting points:</w:t>
      </w:r>
    </w:p>
    <w:p>
      <w:pPr>
        <w:pStyle w:val="ListBullet"/>
      </w:pPr>
      <w:r>
        <w:t>Qwen3-32B vLLM disagg + KV router</w:t>
      </w:r>
    </w:p>
    <w:p>
      <w:pPr>
        <w:pStyle w:val="ListBullet"/>
      </w:pPr>
      <w:r>
        <w:t>DeepSeek V3.2 TensorRT-LLM disagg + KV router</w:t>
      </w:r>
    </w:p>
    <w:p>
      <w:pPr>
        <w:pStyle w:val="ListBullet"/>
      </w:pPr>
      <w:r>
        <w:t>Llama 3 70B vLLM disaggregated recipes</w:t>
      </w:r>
    </w:p>
    <w:p>
      <w:r>
        <w:t>Backend deployment examples with concrete worker flags: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E8EEF5"/>
          </w:tcPr>
          <w:p>
            <w:r>
              <w:rPr>
                <w:b/>
              </w:rPr>
              <w:t>Backend</w:t>
            </w:r>
          </w:p>
        </w:tc>
        <w:tc>
          <w:tcPr>
            <w:tcW w:type="dxa" w:w="4680"/>
            <w:vAlign w:val="top"/>
            <w:tcMar>
              <w:top w:w="80" w:type="dxa"/>
              <w:start w:w="120" w:type="dxa"/>
              <w:bottom w:w="80" w:type="dxa"/>
              <w:end w:w="120" w:type="dxa"/>
            </w:tcMar>
            <w:shd w:fill="E8EEF5"/>
          </w:tcPr>
          <w:p>
            <w:r>
              <w:rPr>
                <w:b/>
              </w:rPr>
              <w:t>Examples</w:t>
            </w:r>
          </w:p>
        </w:tc>
      </w:tr>
      <w:tr>
        <w:tc>
          <w:tcPr>
            <w:tcW w:type="dxa" w:w="4680"/>
            <w:vAlign w:val="top"/>
            <w:tcMar>
              <w:top w:w="80" w:type="dxa"/>
              <w:start w:w="120" w:type="dxa"/>
              <w:bottom w:w="80" w:type="dxa"/>
              <w:end w:w="120" w:type="dxa"/>
            </w:tcMar>
          </w:tcPr>
          <w:p>
            <w:r>
              <w:t>vLLM</w:t>
            </w:r>
          </w:p>
        </w:tc>
        <w:tc>
          <w:tcPr>
            <w:tcW w:type="dxa" w:w="4680"/>
            <w:vAlign w:val="top"/>
            <w:tcMar>
              <w:top w:w="80" w:type="dxa"/>
              <w:start w:w="120" w:type="dxa"/>
              <w:bottom w:w="80" w:type="dxa"/>
              <w:end w:w="120" w:type="dxa"/>
            </w:tcMar>
          </w:tcPr>
          <w:p>
            <w:r>
              <w:t>Deployment examples — disagg.yaml, disagg_router.yaml, disagg_planner.yaml</w:t>
            </w:r>
          </w:p>
        </w:tc>
      </w:tr>
      <w:tr>
        <w:tc>
          <w:tcPr>
            <w:tcW w:type="dxa" w:w="4680"/>
            <w:vAlign w:val="top"/>
            <w:tcMar>
              <w:top w:w="80" w:type="dxa"/>
              <w:start w:w="120" w:type="dxa"/>
              <w:bottom w:w="80" w:type="dxa"/>
              <w:end w:w="120" w:type="dxa"/>
            </w:tcMar>
          </w:tcPr>
          <w:p>
            <w:r>
              <w:t>TensorRT-LLM</w:t>
            </w:r>
          </w:p>
        </w:tc>
        <w:tc>
          <w:tcPr>
            <w:tcW w:type="dxa" w:w="4680"/>
            <w:vAlign w:val="top"/>
            <w:tcMar>
              <w:top w:w="80" w:type="dxa"/>
              <w:start w:w="120" w:type="dxa"/>
              <w:bottom w:w="80" w:type="dxa"/>
              <w:end w:w="120" w:type="dxa"/>
            </w:tcMar>
          </w:tcPr>
          <w:p>
            <w:r>
              <w:t>Deployment examples — disaggregated, router, and planner variants</w:t>
            </w:r>
          </w:p>
        </w:tc>
      </w:tr>
      <w:tr>
        <w:tc>
          <w:tcPr>
            <w:tcW w:type="dxa" w:w="4680"/>
            <w:vAlign w:val="top"/>
            <w:tcMar>
              <w:top w:w="80" w:type="dxa"/>
              <w:start w:w="120" w:type="dxa"/>
              <w:bottom w:w="80" w:type="dxa"/>
              <w:end w:w="120" w:type="dxa"/>
            </w:tcMar>
          </w:tcPr>
          <w:p>
            <w:r>
              <w:t>SGLang</w:t>
            </w:r>
          </w:p>
        </w:tc>
        <w:tc>
          <w:tcPr>
            <w:tcW w:type="dxa" w:w="4680"/>
            <w:vAlign w:val="top"/>
            <w:tcMar>
              <w:top w:w="80" w:type="dxa"/>
              <w:start w:w="120" w:type="dxa"/>
              <w:bottom w:w="80" w:type="dxa"/>
              <w:end w:w="120" w:type="dxa"/>
            </w:tcMar>
          </w:tcPr>
          <w:p>
            <w:r>
              <w:t>Deployment examples — NIXL-based disaggregated serving</w:t>
            </w:r>
          </w:p>
        </w:tc>
      </w:tr>
    </w:tbl>
    <w:p>
      <w:pPr>
        <w:spacing w:after="40"/>
      </w:pPr>
    </w:p>
    <w:p>
      <w:pPr>
        <w:pStyle w:val="Heading2"/>
      </w:pPr>
      <w:r>
        <w:t>How disaggregation relates to KV-aware routing</w:t>
      </w:r>
    </w:p>
    <w:p>
      <w:r>
        <w:t>These are separate features that pair well. Disaggregation splits prefill and decode. KV-aware routing chooses workers based on cache locality. Many production deployments use both, but you can reason about them independently.</w:t>
      </w:r>
    </w:p>
    <w:p>
      <w:r>
        <w:t>For router behavior, see Router: Disaggregated Serving and KV Cache Aware Routing.</w:t>
      </w:r>
    </w:p>
    <w:p>
      <w:pPr>
        <w:pStyle w:val="Heading2"/>
      </w:pPr>
      <w:r>
        <w:t>Before production</w:t>
      </w:r>
    </w:p>
    <w:p>
      <w:pPr>
        <w:pStyle w:val="ListBullet"/>
      </w:pPr>
      <w:r>
        <w:t>Confirm NIXL initialized on each worker (the log check above).</w:t>
      </w:r>
    </w:p>
    <w:p>
      <w:pPr>
        <w:pStyle w:val="ListBullet"/>
      </w:pPr>
      <w:r>
        <w:t>Confirm prefill and decode workers agree on model, dtype, block size, and KV layout.</w:t>
      </w:r>
    </w:p>
    <w:p>
      <w:pPr>
        <w:pStyle w:val="ListBullet"/>
      </w:pPr>
      <w:r>
        <w:t>Confirm pods have the required GPU and shared memory.</w:t>
      </w:r>
    </w:p>
    <w:p>
      <w:pPr>
        <w:pStyle w:val="ListBullet"/>
      </w:pPr>
      <w:r>
        <w:t>Confirm frontend/router flags match your routing strategy.</w:t>
      </w:r>
    </w:p>
    <w:p>
      <w:pPr>
        <w:pStyle w:val="ListBullet"/>
      </w:pPr>
      <w:r>
        <w:t>Run benchmarks inside the cluster, not through local port-forwarding.</w:t>
      </w:r>
    </w:p>
    <w:p>
      <w:pPr>
        <w:pStyle w:val="ListBullet"/>
      </w:pPr>
      <w:r>
        <w:t>If you scale across nodes, validate the RDMA transfer path — see Enable multi-node transfer .</w:t>
      </w:r>
    </w:p>
    <w:p>
      <w:r>
        <w:t>Use Dynamo Benchmarking to compare aggregated and disaggregated configurations under the same workload.</w:t>
      </w:r>
    </w:p>
    <w:p>
      <w:pPr>
        <w:pStyle w:val="Heading2"/>
      </w:pPr>
      <w:r>
        <w:t>Next steps</w:t>
      </w:r>
    </w:p>
    <w:p>
      <w:pPr>
        <w:pStyle w:val="ListNumber"/>
      </w:pPr>
      <w:r>
        <w:t>Start from a matching Dynamo Recipe when one exists.</w:t>
      </w:r>
    </w:p>
    <w:p>
      <w:pPr>
        <w:pStyle w:val="ListNumber"/>
      </w:pPr>
      <w:r>
        <w:t>Read the backend-specific disagg.yaml for your engine.</w:t>
      </w:r>
    </w:p>
    <w:p>
      <w:pPr>
        <w:pStyle w:val="ListNumber"/>
      </w:pPr>
      <w:r>
        <w:t>Use Sizing with AIConfigurator or DGDR to choose prefill/decode sizing.</w:t>
      </w:r>
    </w:p>
    <w:p>
      <w:pPr>
        <w:pStyle w:val="ListNumber"/>
      </w:pPr>
      <w:r>
        <w:t>Validate with Dynamo Benchmarking .</w:t>
      </w:r>
    </w:p>
    <w:sectPr w:rsidR="00FC693F" w:rsidRPr="0006063C" w:rsidSect="00034616">
      <w:pgSz w:w="12240" w:h="15840"/>
      <w:pgMar w:top="1152"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Official NVIDIA source material | Retrieved 2026-08-12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6"/>
      </w:rPr>
      <w:t>NVIDIA TECHNICAL DOCUMENTATION | INTELLIKNOW TEST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