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251" w:rsidRDefault="00AB4C1F">
      <w:r>
        <w:t>Question 1</w:t>
      </w:r>
    </w:p>
    <w:p w:rsidR="00AB4C1F" w:rsidRDefault="00AB4C1F"/>
    <w:p w:rsidR="00AB4C1F" w:rsidRDefault="00692F50" w:rsidP="00AB4C1F">
      <w:pPr>
        <w:pStyle w:val="ListParagraph"/>
        <w:numPr>
          <w:ilvl w:val="0"/>
          <w:numId w:val="1"/>
        </w:numPr>
      </w:pPr>
      <w:r>
        <w:t xml:space="preserve">States: </w:t>
      </w:r>
      <w:r w:rsidR="00541556">
        <w:t xml:space="preserve">Represented by a </w:t>
      </w:r>
      <w:r w:rsidR="00913349">
        <w:t xml:space="preserve">list of </w:t>
      </w:r>
      <w:r w:rsidR="00541556">
        <w:t>cities</w:t>
      </w:r>
      <w:r w:rsidR="00913349">
        <w:t xml:space="preserve"> with a search agent</w:t>
      </w:r>
      <w:r w:rsidR="00541556">
        <w:t>.</w:t>
      </w:r>
      <w:r w:rsidR="00913349">
        <w:t xml:space="preserve"> In my program, these things are represented by their own unique classes. Cities maintain their own x and y coordinates while they are stored in an ArrayList. Agents keep track of the city they are visited, along with those that they have already visited and have yet to visit.</w:t>
      </w:r>
    </w:p>
    <w:p w:rsidR="00692F50" w:rsidRDefault="00692F50" w:rsidP="00AB4C1F">
      <w:pPr>
        <w:ind w:left="720"/>
      </w:pPr>
      <w:r>
        <w:t>Initial State: Search agent starts on City A. Remaining cities remain unvisited.</w:t>
      </w:r>
    </w:p>
    <w:p w:rsidR="00AB4C1F" w:rsidRDefault="00AB4C1F" w:rsidP="00AB4C1F">
      <w:pPr>
        <w:ind w:left="720"/>
      </w:pPr>
      <w:r>
        <w:t>Goal State:</w:t>
      </w:r>
      <w:r w:rsidR="00733642">
        <w:t xml:space="preserve"> Search agent ends on City A. </w:t>
      </w:r>
      <w:r w:rsidR="00541556">
        <w:t>All</w:t>
      </w:r>
      <w:r w:rsidR="00733642">
        <w:t xml:space="preserve"> cities are visited.</w:t>
      </w:r>
    </w:p>
    <w:p w:rsidR="00767BED" w:rsidRDefault="00767BED" w:rsidP="00AB4C1F">
      <w:pPr>
        <w:ind w:left="720"/>
      </w:pPr>
      <w:r>
        <w:t>Successor Function: Generates all the remaining unvisited cities for the search agent. The</w:t>
      </w:r>
      <w:r w:rsidR="00692F50">
        <w:t xml:space="preserve"> g</w:t>
      </w:r>
      <w:r>
        <w:t xml:space="preserve"> cost is the Euclidean distance </w:t>
      </w:r>
      <w:r w:rsidR="00692F50">
        <w:t>between the search agent’s current city to any of these remaining cities.</w:t>
      </w:r>
    </w:p>
    <w:p w:rsidR="00AB4C1F" w:rsidRDefault="00AB4C1F" w:rsidP="00AB4C1F">
      <w:pPr>
        <w:pStyle w:val="ListParagraph"/>
        <w:numPr>
          <w:ilvl w:val="0"/>
          <w:numId w:val="1"/>
        </w:numPr>
      </w:pPr>
      <w:r>
        <w:t>My heuristic function generates the minimum spanning tree of the remaining nodes unvisited by the search agent. It does so by using an algorithm very similar to Kruskal’s algorithm.</w:t>
      </w:r>
      <w:r w:rsidR="0099054C">
        <w:t xml:space="preserve"> It iterates through all possible edges and stores vertices in disjointed sets to achieve a complexity of ~ 2 log V</w:t>
      </w:r>
      <w:r w:rsidR="00767BED">
        <w:t>, where V is the number of cities in the problem</w:t>
      </w:r>
      <w:r w:rsidR="0099054C">
        <w:t xml:space="preserve">. </w:t>
      </w:r>
    </w:p>
    <w:p w:rsidR="0099054C" w:rsidRDefault="0099054C" w:rsidP="0099054C">
      <w:pPr>
        <w:pStyle w:val="ListParagraph"/>
      </w:pPr>
      <w:r>
        <w:t>This heuristic never overestimates the minimum remaining distance of the search agent. T</w:t>
      </w:r>
      <w:r w:rsidR="00767BED">
        <w:t>his is trivial</w:t>
      </w:r>
      <w:r w:rsidR="00733642">
        <w:t xml:space="preserve"> as if the</w:t>
      </w:r>
      <w:r>
        <w:t xml:space="preserve"> </w:t>
      </w:r>
      <w:r w:rsidR="00733642">
        <w:t xml:space="preserve">remaining </w:t>
      </w:r>
      <w:r>
        <w:t>path</w:t>
      </w:r>
      <w:r w:rsidR="00733642">
        <w:t xml:space="preserve"> were cheaper</w:t>
      </w:r>
      <w:r>
        <w:t xml:space="preserve">, then </w:t>
      </w:r>
      <w:r w:rsidR="00733642">
        <w:t>you could construct a cheaper spanning tree using that path. Therefore, this function is admissible.</w:t>
      </w:r>
    </w:p>
    <w:p w:rsidR="00821188" w:rsidRDefault="00821188" w:rsidP="0099054C">
      <w:pPr>
        <w:pStyle w:val="ListParagraph"/>
      </w:pPr>
    </w:p>
    <w:p w:rsidR="00821188" w:rsidRDefault="00431B8D" w:rsidP="00821188">
      <w:pPr>
        <w:pStyle w:val="ListParagraph"/>
        <w:numPr>
          <w:ilvl w:val="0"/>
          <w:numId w:val="1"/>
        </w:numPr>
      </w:pPr>
      <w:r>
        <w:br/>
      </w:r>
      <w:r w:rsidR="00177925">
        <w:rPr>
          <w:noProof/>
        </w:rPr>
        <w:drawing>
          <wp:inline distT="0" distB="0" distL="0" distR="0" wp14:anchorId="293FC48A" wp14:editId="0E63A0DA">
            <wp:extent cx="5657851" cy="3486150"/>
            <wp:effectExtent l="0" t="0" r="0" b="0"/>
            <wp:docPr id="1" name="Chart 1">
              <a:extLst xmlns:a="http://schemas.openxmlformats.org/drawingml/2006/main">
                <a:ext uri="{FF2B5EF4-FFF2-40B4-BE49-F238E27FC236}">
                  <a16:creationId xmlns:a16="http://schemas.microsoft.com/office/drawing/2014/main" id="{7AD95C5A-AC86-444B-96C6-5CB71E4144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21188">
        <w:br/>
      </w:r>
      <w:r w:rsidR="00562D66">
        <w:br/>
        <w:t xml:space="preserve">If the trend continues, extrapolating from the results we can see that the number of search </w:t>
      </w:r>
      <w:r w:rsidR="00562D66">
        <w:lastRenderedPageBreak/>
        <w:t>nodes could be at least 100 billion. Such a large number of nodes would suggest a very long search time. If we divide the extrapolated results with the average number of search nodes for 16 cities and apply that ratio to the search time, then it would be 2.5 million times slower to solve the TSP for 36 cities on average.</w:t>
      </w:r>
      <w:r w:rsidR="00C963D7">
        <w:br/>
      </w:r>
    </w:p>
    <w:p w:rsidR="00C963D7" w:rsidRDefault="00C963D7" w:rsidP="00821188">
      <w:pPr>
        <w:pStyle w:val="ListParagraph"/>
        <w:numPr>
          <w:ilvl w:val="0"/>
          <w:numId w:val="1"/>
        </w:numPr>
      </w:pPr>
      <w:r>
        <w:t>The search ran out of memory on the 10</w:t>
      </w:r>
      <w:r w:rsidRPr="00C963D7">
        <w:rPr>
          <w:vertAlign w:val="superscript"/>
        </w:rPr>
        <w:t>th</w:t>
      </w:r>
      <w:r>
        <w:t xml:space="preserve"> problem of the 11</w:t>
      </w:r>
      <w:r w:rsidRPr="00C963D7">
        <w:rPr>
          <w:vertAlign w:val="superscript"/>
        </w:rPr>
        <w:t>th</w:t>
      </w:r>
      <w:r>
        <w:t xml:space="preserve"> folder.</w:t>
      </w:r>
      <w:r>
        <w:br/>
      </w:r>
    </w:p>
    <w:p w:rsidR="00821188" w:rsidRDefault="00C963D7" w:rsidP="00C963D7">
      <w:pPr>
        <w:pStyle w:val="ListParagraph"/>
      </w:pPr>
      <w:r>
        <w:rPr>
          <w:noProof/>
        </w:rPr>
        <w:drawing>
          <wp:inline distT="0" distB="0" distL="0" distR="0" wp14:anchorId="58BE1377" wp14:editId="68E9E52A">
            <wp:extent cx="5943600" cy="3473450"/>
            <wp:effectExtent l="0" t="0" r="0" b="12700"/>
            <wp:docPr id="2" name="Chart 2">
              <a:extLst xmlns:a="http://schemas.openxmlformats.org/drawingml/2006/main">
                <a:ext uri="{FF2B5EF4-FFF2-40B4-BE49-F238E27FC236}">
                  <a16:creationId xmlns:a16="http://schemas.microsoft.com/office/drawing/2014/main" id="{353B1659-BA23-4811-8D65-6244E99E1A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21188">
        <w:br/>
      </w:r>
    </w:p>
    <w:p w:rsidR="00C963D7" w:rsidRDefault="00C963D7" w:rsidP="00C963D7">
      <w:pPr>
        <w:pStyle w:val="ListParagraph"/>
      </w:pPr>
      <w:r>
        <w:t xml:space="preserve">Compared to the previous experiment, the </w:t>
      </w:r>
      <w:r w:rsidR="00904766">
        <w:t>expected result for 36 cities</w:t>
      </w:r>
      <w:r w:rsidR="0037413B">
        <w:t xml:space="preserve"> is ~IE+20 </w:t>
      </w:r>
      <w:r w:rsidR="00904766">
        <w:t xml:space="preserve">search </w:t>
      </w:r>
      <w:r w:rsidR="0037413B">
        <w:t>nodes, which is a lot larger.</w:t>
      </w:r>
      <w:r w:rsidR="006061F6">
        <w:t xml:space="preserve"> So without the heuristic, the result is exponentially worse. We can already see that by the time we get to 9 or 10 cities, already more search nodes are needed than </w:t>
      </w:r>
      <w:r w:rsidR="00904766">
        <w:t xml:space="preserve">with </w:t>
      </w:r>
      <w:r w:rsidR="006061F6">
        <w:t>16 cities.</w:t>
      </w:r>
      <w:r w:rsidR="0037413B">
        <w:br/>
      </w:r>
    </w:p>
    <w:p w:rsidR="00F0282D" w:rsidRDefault="00F0282D" w:rsidP="00821188"/>
    <w:p w:rsidR="00F0282D" w:rsidRDefault="00F0282D" w:rsidP="00821188"/>
    <w:p w:rsidR="00F0282D" w:rsidRDefault="00F0282D" w:rsidP="00821188"/>
    <w:p w:rsidR="00F0282D" w:rsidRDefault="00F0282D" w:rsidP="00821188"/>
    <w:p w:rsidR="00F0282D" w:rsidRDefault="00F0282D" w:rsidP="00821188"/>
    <w:p w:rsidR="00F0282D" w:rsidRDefault="00F0282D" w:rsidP="00821188"/>
    <w:p w:rsidR="00F0282D" w:rsidRDefault="00F0282D" w:rsidP="00821188"/>
    <w:p w:rsidR="00F0282D" w:rsidRDefault="00F0282D" w:rsidP="00821188"/>
    <w:p w:rsidR="00821188" w:rsidRDefault="00821188" w:rsidP="00821188">
      <w:r>
        <w:lastRenderedPageBreak/>
        <w:t>Question 2</w:t>
      </w:r>
    </w:p>
    <w:p w:rsidR="00821188" w:rsidRDefault="00821188" w:rsidP="00821188"/>
    <w:p w:rsidR="00821188" w:rsidRDefault="00821188" w:rsidP="00821188">
      <w:pPr>
        <w:pStyle w:val="ListParagraph"/>
        <w:numPr>
          <w:ilvl w:val="0"/>
          <w:numId w:val="2"/>
        </w:numPr>
      </w:pPr>
      <w:r>
        <w:t>&lt;V, D, C&gt;</w:t>
      </w:r>
      <w:r>
        <w:br/>
        <w:t>V = {</w:t>
      </w:r>
      <w:r w:rsidR="00F11B7A">
        <w:t>V</w:t>
      </w:r>
      <w:r w:rsidR="00F11B7A" w:rsidRPr="00F11B7A">
        <w:rPr>
          <w:vertAlign w:val="subscript"/>
        </w:rPr>
        <w:t>00</w:t>
      </w:r>
      <w:r w:rsidR="00F11B7A">
        <w:t xml:space="preserve"> … V</w:t>
      </w:r>
      <w:r w:rsidR="00F11B7A" w:rsidRPr="00F11B7A">
        <w:rPr>
          <w:vertAlign w:val="subscript"/>
        </w:rPr>
        <w:t>rc</w:t>
      </w:r>
      <w:r>
        <w:t>}</w:t>
      </w:r>
      <w:r w:rsidR="00F11B7A">
        <w:t>, where V represents a Cell and rc represents the rows and columns in a 9x9 grid</w:t>
      </w:r>
    </w:p>
    <w:p w:rsidR="00821188" w:rsidRDefault="00821188" w:rsidP="00821188">
      <w:pPr>
        <w:pStyle w:val="ListParagraph"/>
      </w:pPr>
      <w:r>
        <w:t>D = {</w:t>
      </w:r>
      <w:r w:rsidR="00F11B7A">
        <w:t>1 … 9</w:t>
      </w:r>
      <w:r>
        <w:t>}</w:t>
      </w:r>
    </w:p>
    <w:p w:rsidR="00AD439A" w:rsidRDefault="00821188" w:rsidP="00AD439A">
      <w:pPr>
        <w:pStyle w:val="ListParagraph"/>
      </w:pPr>
      <w:r>
        <w:t>C = {</w:t>
      </w:r>
      <w:r w:rsidR="00AD439A">
        <w:t>C1, C2, C3</w:t>
      </w:r>
      <w:r>
        <w:t>}</w:t>
      </w:r>
      <w:r w:rsidR="00AD439A">
        <w:t>, where</w:t>
      </w:r>
    </w:p>
    <w:p w:rsidR="00AD439A" w:rsidRDefault="00875E95" w:rsidP="00F0282D">
      <w:pPr>
        <w:ind w:left="1440"/>
      </w:pPr>
      <w:r>
        <w:t xml:space="preserve">C1 </w:t>
      </w:r>
      <w:r w:rsidR="004D5BE1">
        <w:t>= no 2 variables in a column can occupy the same domain</w:t>
      </w:r>
      <w:r w:rsidR="004D5BE1">
        <w:br/>
        <w:t>V</w:t>
      </w:r>
      <w:r w:rsidR="004D5BE1" w:rsidRPr="004D5BE1">
        <w:rPr>
          <w:vertAlign w:val="subscript"/>
        </w:rPr>
        <w:t>ic</w:t>
      </w:r>
      <w:r w:rsidR="00F0282D">
        <w:t xml:space="preserve"> </w:t>
      </w:r>
      <w:r w:rsidR="00F0282D" w:rsidRPr="00F0282D">
        <w:t>≠</w:t>
      </w:r>
      <w:r w:rsidR="004D5BE1">
        <w:t xml:space="preserve"> V</w:t>
      </w:r>
      <w:r w:rsidR="004D5BE1" w:rsidRPr="004D5BE1">
        <w:rPr>
          <w:vertAlign w:val="subscript"/>
        </w:rPr>
        <w:t>jc</w:t>
      </w:r>
      <w:r w:rsidR="004D5BE1">
        <w:t>, i</w:t>
      </w:r>
      <w:r w:rsidR="00F0282D">
        <w:t xml:space="preserve"> </w:t>
      </w:r>
      <w:r w:rsidR="00F0282D" w:rsidRPr="00F0282D">
        <w:t>≠</w:t>
      </w:r>
      <w:r w:rsidR="004D5BE1">
        <w:t xml:space="preserve"> j, </w:t>
      </w:r>
      <w:r w:rsidR="00F0282D">
        <w:t xml:space="preserve">i </w:t>
      </w:r>
      <w:r w:rsidR="00F0282D" w:rsidRPr="00F0282D">
        <w:rPr>
          <w:rFonts w:ascii="Cambria Math" w:hAnsi="Cambria Math" w:cs="Cambria Math"/>
        </w:rPr>
        <w:t>∈</w:t>
      </w:r>
      <w:r w:rsidR="00F0282D">
        <w:t xml:space="preserve"> D, j </w:t>
      </w:r>
      <w:r w:rsidR="00F0282D" w:rsidRPr="00F0282D">
        <w:rPr>
          <w:rFonts w:ascii="Cambria Math" w:hAnsi="Cambria Math" w:cs="Cambria Math"/>
        </w:rPr>
        <w:t>∈</w:t>
      </w:r>
      <w:r w:rsidR="00F0282D">
        <w:t xml:space="preserve"> D</w:t>
      </w:r>
    </w:p>
    <w:p w:rsidR="00227357" w:rsidRDefault="004D5BE1" w:rsidP="00227357">
      <w:pPr>
        <w:pStyle w:val="ListParagraph"/>
        <w:ind w:left="1440"/>
      </w:pPr>
      <w:r>
        <w:t>C2 = no 2 variables in a column can occupy the same domain</w:t>
      </w:r>
      <w:r w:rsidR="00227357">
        <w:br/>
      </w:r>
      <w:r>
        <w:t>V</w:t>
      </w:r>
      <w:r w:rsidRPr="004D5BE1">
        <w:rPr>
          <w:vertAlign w:val="subscript"/>
        </w:rPr>
        <w:t>ri</w:t>
      </w:r>
      <w:r w:rsidR="00F0282D">
        <w:t xml:space="preserve"> </w:t>
      </w:r>
      <w:r w:rsidR="00F0282D" w:rsidRPr="00F0282D">
        <w:t>≠</w:t>
      </w:r>
      <w:r>
        <w:t xml:space="preserve"> V</w:t>
      </w:r>
      <w:r w:rsidRPr="004D5BE1">
        <w:rPr>
          <w:vertAlign w:val="subscript"/>
        </w:rPr>
        <w:t>rj</w:t>
      </w:r>
      <w:r>
        <w:t xml:space="preserve">, </w:t>
      </w:r>
      <w:r w:rsidR="00F0282D">
        <w:t xml:space="preserve">i </w:t>
      </w:r>
      <w:r w:rsidR="00F0282D" w:rsidRPr="00F0282D">
        <w:t>≠</w:t>
      </w:r>
      <w:r>
        <w:t xml:space="preserve"> j, </w:t>
      </w:r>
      <w:r w:rsidR="00F0282D">
        <w:t xml:space="preserve">i </w:t>
      </w:r>
      <w:r w:rsidR="00F0282D" w:rsidRPr="00F0282D">
        <w:rPr>
          <w:rFonts w:ascii="Cambria Math" w:hAnsi="Cambria Math" w:cs="Cambria Math"/>
        </w:rPr>
        <w:t>∈</w:t>
      </w:r>
      <w:r w:rsidR="00F0282D">
        <w:t xml:space="preserve"> D, j </w:t>
      </w:r>
      <w:r w:rsidR="00F0282D" w:rsidRPr="00F0282D">
        <w:rPr>
          <w:rFonts w:ascii="Cambria Math" w:hAnsi="Cambria Math" w:cs="Cambria Math"/>
        </w:rPr>
        <w:t>∈</w:t>
      </w:r>
      <w:r w:rsidR="00F0282D">
        <w:t xml:space="preserve"> D</w:t>
      </w:r>
    </w:p>
    <w:p w:rsidR="00227357" w:rsidRDefault="00227357" w:rsidP="00227357">
      <w:pPr>
        <w:pStyle w:val="ListParagraph"/>
        <w:ind w:left="1440"/>
      </w:pPr>
    </w:p>
    <w:p w:rsidR="00AD439A" w:rsidRPr="00F0282D" w:rsidRDefault="004D5BE1" w:rsidP="00227357">
      <w:pPr>
        <w:pStyle w:val="ListParagraph"/>
        <w:ind w:left="1440"/>
      </w:pPr>
      <w:r>
        <w:t>C3 = no 2 variables in a cell bl</w:t>
      </w:r>
      <w:r w:rsidR="00227357">
        <w:t>ock can occupy the same domain</w:t>
      </w:r>
      <w:r w:rsidR="00227357">
        <w:br/>
      </w:r>
      <w:r w:rsidR="00F0282D">
        <w:t>SameBlock(</w:t>
      </w:r>
      <w:r>
        <w:t>V</w:t>
      </w:r>
      <w:r w:rsidR="00F0282D" w:rsidRPr="00227357">
        <w:rPr>
          <w:vertAlign w:val="subscript"/>
        </w:rPr>
        <w:t>ij</w:t>
      </w:r>
      <w:r w:rsidR="00F0282D">
        <w:t>, V</w:t>
      </w:r>
      <w:r w:rsidR="00F0282D" w:rsidRPr="00227357">
        <w:rPr>
          <w:vertAlign w:val="subscript"/>
        </w:rPr>
        <w:t>kl</w:t>
      </w:r>
      <w:r w:rsidR="00F0282D">
        <w:t>),  V</w:t>
      </w:r>
      <w:r w:rsidR="00F0282D" w:rsidRPr="00227357">
        <w:rPr>
          <w:vertAlign w:val="subscript"/>
        </w:rPr>
        <w:t>ij</w:t>
      </w:r>
      <w:r w:rsidR="00F0282D">
        <w:t xml:space="preserve"> </w:t>
      </w:r>
      <w:r w:rsidR="00F0282D" w:rsidRPr="00F0282D">
        <w:t>≠</w:t>
      </w:r>
      <w:r w:rsidR="00F0282D">
        <w:t xml:space="preserve"> V</w:t>
      </w:r>
      <w:r w:rsidR="00F0282D" w:rsidRPr="00227357">
        <w:rPr>
          <w:vertAlign w:val="subscript"/>
        </w:rPr>
        <w:t>kl</w:t>
      </w:r>
      <w:r w:rsidR="00F0282D">
        <w:t xml:space="preserve">, i </w:t>
      </w:r>
      <w:r w:rsidR="00F0282D" w:rsidRPr="00227357">
        <w:rPr>
          <w:rFonts w:ascii="Cambria Math" w:hAnsi="Cambria Math" w:cs="Cambria Math"/>
        </w:rPr>
        <w:t>∈</w:t>
      </w:r>
      <w:r w:rsidR="00F0282D">
        <w:t xml:space="preserve"> D, j </w:t>
      </w:r>
      <w:r w:rsidR="00F0282D" w:rsidRPr="00227357">
        <w:rPr>
          <w:rFonts w:ascii="Cambria Math" w:hAnsi="Cambria Math" w:cs="Cambria Math"/>
        </w:rPr>
        <w:t>∈</w:t>
      </w:r>
      <w:r w:rsidR="00F0282D">
        <w:t xml:space="preserve"> D, k </w:t>
      </w:r>
      <w:r w:rsidR="00F0282D" w:rsidRPr="00227357">
        <w:rPr>
          <w:rFonts w:ascii="Cambria Math" w:hAnsi="Cambria Math" w:cs="Cambria Math"/>
        </w:rPr>
        <w:t>∈</w:t>
      </w:r>
      <w:r w:rsidR="00F0282D">
        <w:t xml:space="preserve"> D, l </w:t>
      </w:r>
      <w:r w:rsidR="00F0282D" w:rsidRPr="00227357">
        <w:rPr>
          <w:rFonts w:ascii="Cambria Math" w:hAnsi="Cambria Math" w:cs="Cambria Math"/>
        </w:rPr>
        <w:t>∈</w:t>
      </w:r>
      <w:r w:rsidR="00F0282D">
        <w:t xml:space="preserve"> D</w:t>
      </w:r>
    </w:p>
    <w:p w:rsidR="00A85E71" w:rsidRDefault="00A85E71" w:rsidP="00AD439A">
      <w:pPr>
        <w:pStyle w:val="ListParagraph"/>
      </w:pPr>
    </w:p>
    <w:p w:rsidR="00A85E71" w:rsidRDefault="00A85E71" w:rsidP="00A85E71">
      <w:pPr>
        <w:pStyle w:val="ListParagraph"/>
        <w:numPr>
          <w:ilvl w:val="0"/>
          <w:numId w:val="2"/>
        </w:numPr>
      </w:pPr>
      <w:r>
        <w:t>Implemented</w:t>
      </w:r>
      <w:r w:rsidR="001206BF">
        <w:t>.</w:t>
      </w:r>
      <w:r w:rsidR="00F76BC5">
        <w:br/>
      </w:r>
      <w:r w:rsidR="00F76BC5">
        <w:br/>
      </w:r>
      <w:r w:rsidR="00962664">
        <w:rPr>
          <w:noProof/>
        </w:rPr>
        <w:drawing>
          <wp:inline distT="0" distB="0" distL="0" distR="0" wp14:anchorId="555FD031" wp14:editId="1624EEE4">
            <wp:extent cx="5924550" cy="3343275"/>
            <wp:effectExtent l="0" t="0" r="0" b="9525"/>
            <wp:docPr id="5" name="Chart 5">
              <a:extLst xmlns:a="http://schemas.openxmlformats.org/drawingml/2006/main">
                <a:ext uri="{FF2B5EF4-FFF2-40B4-BE49-F238E27FC236}">
                  <a16:creationId xmlns:a16="http://schemas.microsoft.com/office/drawing/2014/main" id="{231A0B67-1276-4EAA-83D6-3ECD85422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21A1C">
        <w:br/>
      </w:r>
    </w:p>
    <w:p w:rsidR="00A85E71" w:rsidRDefault="00F2359B" w:rsidP="00F2359B">
      <w:pPr>
        <w:ind w:left="720"/>
      </w:pPr>
      <w:r>
        <w:t xml:space="preserve">I found in general for versions a and b </w:t>
      </w:r>
      <w:r w:rsidR="00ED4360">
        <w:t>that the graph formed a bell curve that was skewed right. The more “balanced” the number of initial values were, the more time it took for the algorithms to solve the problem. I suppose this makes sense, because the less initial values there are, the more “freedom” there is to finding a solution. But having more initial values means less possibilities, which reduces the number of checks needed.</w:t>
      </w:r>
    </w:p>
    <w:p w:rsidR="00F2359B" w:rsidRDefault="00841526" w:rsidP="00F2359B">
      <w:pPr>
        <w:ind w:left="720"/>
      </w:pPr>
      <w:r>
        <w:lastRenderedPageBreak/>
        <w:t xml:space="preserve">Version B </w:t>
      </w:r>
      <w:r w:rsidR="001206BF">
        <w:t>has less variable assignments overall than version a. This makes sense, as forward checking allows us to remove failed searches earlier.</w:t>
      </w:r>
    </w:p>
    <w:p w:rsidR="00DA6BF6" w:rsidRDefault="00F754F0" w:rsidP="00F2359B">
      <w:pPr>
        <w:ind w:left="720"/>
      </w:pPr>
      <w:r>
        <w:t xml:space="preserve">I did not </w:t>
      </w:r>
      <w:r w:rsidR="001206BF">
        <w:t xml:space="preserve">fully implement </w:t>
      </w:r>
      <w:r>
        <w:t>version c due to a shortage of time.</w:t>
      </w:r>
      <w:r w:rsidR="001206BF">
        <w:t xml:space="preserve"> But </w:t>
      </w:r>
      <w:r w:rsidR="001206BF">
        <w:t>I</w:t>
      </w:r>
      <w:r w:rsidR="001206BF">
        <w:t xml:space="preserve"> did implement</w:t>
      </w:r>
      <w:r w:rsidR="001206BF">
        <w:t xml:space="preserve"> the most constraining variable heuristic. </w:t>
      </w:r>
      <w:r w:rsidR="001206BF">
        <w:t>Judging from what I have done it looks like version c is skewed left instead of right. It also seems to do better the more initial values there are.</w:t>
      </w:r>
      <w:r w:rsidR="00E4555E">
        <w:t xml:space="preserve"> I think if I were to implement most and least constraining</w:t>
      </w:r>
      <w:r w:rsidR="00CF77BC">
        <w:t xml:space="preserve"> variable the performance from variable c would look much better.</w:t>
      </w:r>
      <w:bookmarkStart w:id="0" w:name="_GoBack"/>
      <w:bookmarkEnd w:id="0"/>
    </w:p>
    <w:sectPr w:rsidR="00DA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5251E"/>
    <w:multiLevelType w:val="hybridMultilevel"/>
    <w:tmpl w:val="D1AE8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1418F"/>
    <w:multiLevelType w:val="hybridMultilevel"/>
    <w:tmpl w:val="F5101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1F"/>
    <w:rsid w:val="00053568"/>
    <w:rsid w:val="001206BF"/>
    <w:rsid w:val="00177925"/>
    <w:rsid w:val="001C4A90"/>
    <w:rsid w:val="00227357"/>
    <w:rsid w:val="0023294A"/>
    <w:rsid w:val="0037413B"/>
    <w:rsid w:val="003D7297"/>
    <w:rsid w:val="00431B8D"/>
    <w:rsid w:val="004D5BE1"/>
    <w:rsid w:val="004E0270"/>
    <w:rsid w:val="004F2F4E"/>
    <w:rsid w:val="00541556"/>
    <w:rsid w:val="00562D66"/>
    <w:rsid w:val="005659D6"/>
    <w:rsid w:val="005820A0"/>
    <w:rsid w:val="006061F6"/>
    <w:rsid w:val="00692F50"/>
    <w:rsid w:val="00733642"/>
    <w:rsid w:val="00767BED"/>
    <w:rsid w:val="00821188"/>
    <w:rsid w:val="00821A1C"/>
    <w:rsid w:val="00841526"/>
    <w:rsid w:val="00842C61"/>
    <w:rsid w:val="00875E95"/>
    <w:rsid w:val="00904766"/>
    <w:rsid w:val="00913349"/>
    <w:rsid w:val="00962664"/>
    <w:rsid w:val="0099054C"/>
    <w:rsid w:val="00A0048D"/>
    <w:rsid w:val="00A00493"/>
    <w:rsid w:val="00A85E71"/>
    <w:rsid w:val="00AB4C1F"/>
    <w:rsid w:val="00AD439A"/>
    <w:rsid w:val="00B3204E"/>
    <w:rsid w:val="00C963D7"/>
    <w:rsid w:val="00CF77BC"/>
    <w:rsid w:val="00DA332E"/>
    <w:rsid w:val="00DA6BF6"/>
    <w:rsid w:val="00DC7FBC"/>
    <w:rsid w:val="00E4555E"/>
    <w:rsid w:val="00ED4360"/>
    <w:rsid w:val="00F0282D"/>
    <w:rsid w:val="00F11B7A"/>
    <w:rsid w:val="00F2359B"/>
    <w:rsid w:val="00F64251"/>
    <w:rsid w:val="00F754F0"/>
    <w:rsid w:val="00F7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0B95"/>
  <w15:chartTrackingRefBased/>
  <w15:docId w15:val="{371F2FDE-FABC-47A4-9BBF-D1D53892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yson\workspace\cs486_A1\plot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 Cities vs Average Search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13587265993873"/>
          <c:y val="0.12456759026028548"/>
          <c:w val="0.80493291589669347"/>
          <c:h val="0.72630291490641752"/>
        </c:manualLayout>
      </c:layout>
      <c:scatterChart>
        <c:scatterStyle val="lineMarker"/>
        <c:varyColors val="0"/>
        <c:ser>
          <c:idx val="0"/>
          <c:order val="0"/>
          <c:tx>
            <c:strRef>
              <c:f>Sheet1!$B$1</c:f>
              <c:strCache>
                <c:ptCount val="1"/>
                <c:pt idx="0">
                  <c:v>Cities vs Search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20"/>
            <c:dispRSqr val="0"/>
            <c:dispEq val="0"/>
          </c:trendline>
          <c:x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Sheet1!$B$2:$B$17</c:f>
              <c:numCache>
                <c:formatCode>General</c:formatCode>
                <c:ptCount val="16"/>
                <c:pt idx="0">
                  <c:v>1</c:v>
                </c:pt>
                <c:pt idx="1">
                  <c:v>3</c:v>
                </c:pt>
                <c:pt idx="2">
                  <c:v>6</c:v>
                </c:pt>
                <c:pt idx="3">
                  <c:v>12.5</c:v>
                </c:pt>
                <c:pt idx="4">
                  <c:v>28.2</c:v>
                </c:pt>
                <c:pt idx="5">
                  <c:v>52.5</c:v>
                </c:pt>
                <c:pt idx="6">
                  <c:v>145.30000000000001</c:v>
                </c:pt>
                <c:pt idx="7">
                  <c:v>364.9</c:v>
                </c:pt>
                <c:pt idx="8">
                  <c:v>582.29999999999995</c:v>
                </c:pt>
                <c:pt idx="9">
                  <c:v>1016.4</c:v>
                </c:pt>
                <c:pt idx="10">
                  <c:v>1094.5</c:v>
                </c:pt>
                <c:pt idx="11">
                  <c:v>10828.5</c:v>
                </c:pt>
                <c:pt idx="12">
                  <c:v>3638.9</c:v>
                </c:pt>
                <c:pt idx="13">
                  <c:v>7029.8</c:v>
                </c:pt>
                <c:pt idx="14">
                  <c:v>11915</c:v>
                </c:pt>
                <c:pt idx="15">
                  <c:v>42827.4</c:v>
                </c:pt>
              </c:numCache>
            </c:numRef>
          </c:yVal>
          <c:smooth val="0"/>
          <c:extLst>
            <c:ext xmlns:c16="http://schemas.microsoft.com/office/drawing/2014/chart" uri="{C3380CC4-5D6E-409C-BE32-E72D297353CC}">
              <c16:uniqueId val="{00000001-4DBE-48F4-98C9-A77D56C8C981}"/>
            </c:ext>
          </c:extLst>
        </c:ser>
        <c:dLbls>
          <c:showLegendKey val="0"/>
          <c:showVal val="0"/>
          <c:showCatName val="0"/>
          <c:showSerName val="0"/>
          <c:showPercent val="0"/>
          <c:showBubbleSize val="0"/>
        </c:dLbls>
        <c:axId val="320692472"/>
        <c:axId val="276860120"/>
      </c:scatterChart>
      <c:valAx>
        <c:axId val="320692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860120"/>
        <c:crosses val="autoZero"/>
        <c:crossBetween val="midCat"/>
      </c:valAx>
      <c:valAx>
        <c:axId val="276860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Average Search Nodes (Log)</a:t>
                </a:r>
              </a:p>
            </c:rich>
          </c:tx>
          <c:layout>
            <c:manualLayout>
              <c:xMode val="edge"/>
              <c:yMode val="edge"/>
              <c:x val="8.4656070548503014E-3"/>
              <c:y val="0.283764189425943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92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 Cities vs Average Search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13587265993873"/>
          <c:y val="0.12456759026028548"/>
          <c:w val="0.80493291589669347"/>
          <c:h val="0.7263029149064175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25"/>
            <c:dispRSqr val="0"/>
            <c:dispEq val="0"/>
          </c:trendline>
          <c:xVal>
            <c:numRef>
              <c:f>Sheet1!$A$21:$A$31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Sheet1!$B$21:$B$31</c:f>
              <c:numCache>
                <c:formatCode>General</c:formatCode>
                <c:ptCount val="11"/>
                <c:pt idx="0">
                  <c:v>1</c:v>
                </c:pt>
                <c:pt idx="1">
                  <c:v>3</c:v>
                </c:pt>
                <c:pt idx="2">
                  <c:v>7</c:v>
                </c:pt>
                <c:pt idx="3">
                  <c:v>21.2</c:v>
                </c:pt>
                <c:pt idx="4">
                  <c:v>77.5</c:v>
                </c:pt>
                <c:pt idx="5">
                  <c:v>306.89999999999998</c:v>
                </c:pt>
                <c:pt idx="6">
                  <c:v>1684.7</c:v>
                </c:pt>
                <c:pt idx="7">
                  <c:v>6356.1</c:v>
                </c:pt>
                <c:pt idx="8">
                  <c:v>29265.1</c:v>
                </c:pt>
                <c:pt idx="9">
                  <c:v>148741.79999999999</c:v>
                </c:pt>
                <c:pt idx="10">
                  <c:v>595453.11111111101</c:v>
                </c:pt>
              </c:numCache>
            </c:numRef>
          </c:yVal>
          <c:smooth val="0"/>
          <c:extLst>
            <c:ext xmlns:c16="http://schemas.microsoft.com/office/drawing/2014/chart" uri="{C3380CC4-5D6E-409C-BE32-E72D297353CC}">
              <c16:uniqueId val="{00000001-EC8E-46B9-8F20-BF06C78F7C7B}"/>
            </c:ext>
          </c:extLst>
        </c:ser>
        <c:dLbls>
          <c:showLegendKey val="0"/>
          <c:showVal val="0"/>
          <c:showCatName val="0"/>
          <c:showSerName val="0"/>
          <c:showPercent val="0"/>
          <c:showBubbleSize val="0"/>
        </c:dLbls>
        <c:axId val="320692472"/>
        <c:axId val="276860120"/>
      </c:scatterChart>
      <c:valAx>
        <c:axId val="320692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860120"/>
        <c:crosses val="autoZero"/>
        <c:crossBetween val="midCat"/>
      </c:valAx>
      <c:valAx>
        <c:axId val="2768601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u="none"/>
                  <a:t>Average Search Nodes (Log)</a:t>
                </a:r>
              </a:p>
            </c:rich>
          </c:tx>
          <c:layout>
            <c:manualLayout>
              <c:xMode val="edge"/>
              <c:yMode val="edge"/>
              <c:x val="8.4656070548503014E-3"/>
              <c:y val="0.283764189425943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692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Initial</a:t>
            </a:r>
            <a:r>
              <a:rPr lang="en-US" baseline="0"/>
              <a:t> Values vs Average Number of Variable Assignments</a:t>
            </a:r>
            <a:endParaRPr lang="en-US"/>
          </a:p>
        </c:rich>
      </c:tx>
      <c:overlay val="0"/>
      <c:spPr>
        <a:noFill/>
        <a:ln>
          <a:noFill/>
        </a:ln>
        <a:effectLst/>
      </c:spPr>
    </c:title>
    <c:autoTitleDeleted val="0"/>
    <c:plotArea>
      <c:layout/>
      <c:scatterChart>
        <c:scatterStyle val="lineMarker"/>
        <c:varyColors val="0"/>
        <c:ser>
          <c:idx val="1"/>
          <c:order val="0"/>
          <c:tx>
            <c:v>Version A</c:v>
          </c:tx>
          <c:marker>
            <c:symbol val="none"/>
          </c:marker>
          <c:xVal>
            <c:numRef>
              <c:f>Sheet1!$D$1:$D$71</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xVal>
          <c:yVal>
            <c:numRef>
              <c:f>Sheet1!$E$1:$E$71</c:f>
              <c:numCache>
                <c:formatCode>General</c:formatCode>
                <c:ptCount val="71"/>
                <c:pt idx="0">
                  <c:v>555.9</c:v>
                </c:pt>
                <c:pt idx="1">
                  <c:v>419</c:v>
                </c:pt>
                <c:pt idx="2">
                  <c:v>419.8</c:v>
                </c:pt>
                <c:pt idx="3">
                  <c:v>445.8</c:v>
                </c:pt>
                <c:pt idx="4">
                  <c:v>374.3</c:v>
                </c:pt>
                <c:pt idx="5">
                  <c:v>2251.1999999999998</c:v>
                </c:pt>
                <c:pt idx="6">
                  <c:v>668</c:v>
                </c:pt>
                <c:pt idx="7">
                  <c:v>537.4</c:v>
                </c:pt>
                <c:pt idx="8">
                  <c:v>1465.8</c:v>
                </c:pt>
                <c:pt idx="9">
                  <c:v>1739.9</c:v>
                </c:pt>
                <c:pt idx="10">
                  <c:v>735.3</c:v>
                </c:pt>
                <c:pt idx="11">
                  <c:v>2022.7</c:v>
                </c:pt>
                <c:pt idx="12">
                  <c:v>2909.5</c:v>
                </c:pt>
                <c:pt idx="13">
                  <c:v>2348.1</c:v>
                </c:pt>
                <c:pt idx="14">
                  <c:v>3190.4</c:v>
                </c:pt>
                <c:pt idx="15">
                  <c:v>3401.7</c:v>
                </c:pt>
                <c:pt idx="16">
                  <c:v>4453.2</c:v>
                </c:pt>
                <c:pt idx="17">
                  <c:v>4806.1000000000004</c:v>
                </c:pt>
                <c:pt idx="18">
                  <c:v>4051.9</c:v>
                </c:pt>
                <c:pt idx="19">
                  <c:v>4638.7</c:v>
                </c:pt>
                <c:pt idx="20">
                  <c:v>6357.7</c:v>
                </c:pt>
                <c:pt idx="21">
                  <c:v>7496.2</c:v>
                </c:pt>
                <c:pt idx="22">
                  <c:v>4926.7</c:v>
                </c:pt>
                <c:pt idx="23">
                  <c:v>4317.3</c:v>
                </c:pt>
                <c:pt idx="24">
                  <c:v>6262.5</c:v>
                </c:pt>
                <c:pt idx="25">
                  <c:v>5091.2</c:v>
                </c:pt>
                <c:pt idx="26">
                  <c:v>3503.6</c:v>
                </c:pt>
                <c:pt idx="27">
                  <c:v>2617.1</c:v>
                </c:pt>
                <c:pt idx="28">
                  <c:v>3255.4</c:v>
                </c:pt>
                <c:pt idx="29">
                  <c:v>2013.9</c:v>
                </c:pt>
                <c:pt idx="30">
                  <c:v>3728</c:v>
                </c:pt>
                <c:pt idx="31">
                  <c:v>3287.8</c:v>
                </c:pt>
                <c:pt idx="32">
                  <c:v>1413.3</c:v>
                </c:pt>
                <c:pt idx="33">
                  <c:v>1542.5</c:v>
                </c:pt>
                <c:pt idx="34">
                  <c:v>885.8</c:v>
                </c:pt>
                <c:pt idx="35">
                  <c:v>493.8</c:v>
                </c:pt>
                <c:pt idx="36">
                  <c:v>734.1</c:v>
                </c:pt>
                <c:pt idx="37">
                  <c:v>290.39999999999998</c:v>
                </c:pt>
                <c:pt idx="38">
                  <c:v>645.6</c:v>
                </c:pt>
                <c:pt idx="39">
                  <c:v>170.2</c:v>
                </c:pt>
                <c:pt idx="40">
                  <c:v>189.9</c:v>
                </c:pt>
                <c:pt idx="41">
                  <c:v>112.2</c:v>
                </c:pt>
                <c:pt idx="42">
                  <c:v>137.6</c:v>
                </c:pt>
                <c:pt idx="43">
                  <c:v>107.8</c:v>
                </c:pt>
                <c:pt idx="44">
                  <c:v>70.8</c:v>
                </c:pt>
                <c:pt idx="45">
                  <c:v>85.8</c:v>
                </c:pt>
                <c:pt idx="46">
                  <c:v>49.8</c:v>
                </c:pt>
                <c:pt idx="47">
                  <c:v>69.8</c:v>
                </c:pt>
                <c:pt idx="48">
                  <c:v>60.2</c:v>
                </c:pt>
                <c:pt idx="49">
                  <c:v>60.9</c:v>
                </c:pt>
                <c:pt idx="50">
                  <c:v>49.6</c:v>
                </c:pt>
                <c:pt idx="51">
                  <c:v>37.6</c:v>
                </c:pt>
                <c:pt idx="52">
                  <c:v>49.9</c:v>
                </c:pt>
                <c:pt idx="53">
                  <c:v>31.4</c:v>
                </c:pt>
                <c:pt idx="54">
                  <c:v>37.9</c:v>
                </c:pt>
                <c:pt idx="55">
                  <c:v>30.6</c:v>
                </c:pt>
                <c:pt idx="56">
                  <c:v>28.6</c:v>
                </c:pt>
                <c:pt idx="57">
                  <c:v>28.8</c:v>
                </c:pt>
                <c:pt idx="58">
                  <c:v>23.1</c:v>
                </c:pt>
                <c:pt idx="59">
                  <c:v>22.1</c:v>
                </c:pt>
                <c:pt idx="60">
                  <c:v>23.8</c:v>
                </c:pt>
                <c:pt idx="61">
                  <c:v>20.9</c:v>
                </c:pt>
                <c:pt idx="62">
                  <c:v>18.3</c:v>
                </c:pt>
                <c:pt idx="63">
                  <c:v>17.100000000000001</c:v>
                </c:pt>
                <c:pt idx="64">
                  <c:v>17</c:v>
                </c:pt>
                <c:pt idx="65">
                  <c:v>15.2</c:v>
                </c:pt>
                <c:pt idx="66">
                  <c:v>14.2</c:v>
                </c:pt>
                <c:pt idx="67">
                  <c:v>13.2</c:v>
                </c:pt>
                <c:pt idx="68">
                  <c:v>12</c:v>
                </c:pt>
                <c:pt idx="69">
                  <c:v>11.1</c:v>
                </c:pt>
                <c:pt idx="70">
                  <c:v>10.1</c:v>
                </c:pt>
              </c:numCache>
            </c:numRef>
          </c:yVal>
          <c:smooth val="0"/>
          <c:extLst>
            <c:ext xmlns:c16="http://schemas.microsoft.com/office/drawing/2014/chart" uri="{C3380CC4-5D6E-409C-BE32-E72D297353CC}">
              <c16:uniqueId val="{00000000-61C8-4AE6-8E20-89E72201DCA9}"/>
            </c:ext>
          </c:extLst>
        </c:ser>
        <c:ser>
          <c:idx val="0"/>
          <c:order val="1"/>
          <c:tx>
            <c:v>Version B</c:v>
          </c:tx>
          <c:marker>
            <c:symbol val="none"/>
          </c:marker>
          <c:xVal>
            <c:numRef>
              <c:f>Sheet1!$D$1:$D$71</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xVal>
          <c:yVal>
            <c:numRef>
              <c:f>Sheet1!$B$1:$B$71</c:f>
              <c:numCache>
                <c:formatCode>General</c:formatCode>
                <c:ptCount val="71"/>
                <c:pt idx="0">
                  <c:v>280.8</c:v>
                </c:pt>
                <c:pt idx="1">
                  <c:v>213.6</c:v>
                </c:pt>
                <c:pt idx="2">
                  <c:v>203.3</c:v>
                </c:pt>
                <c:pt idx="3">
                  <c:v>169.5</c:v>
                </c:pt>
                <c:pt idx="4">
                  <c:v>167.2</c:v>
                </c:pt>
                <c:pt idx="5">
                  <c:v>1331.9</c:v>
                </c:pt>
                <c:pt idx="6">
                  <c:v>261.89999999999998</c:v>
                </c:pt>
                <c:pt idx="7">
                  <c:v>192.9</c:v>
                </c:pt>
                <c:pt idx="8">
                  <c:v>1136.2</c:v>
                </c:pt>
                <c:pt idx="9">
                  <c:v>476.9</c:v>
                </c:pt>
                <c:pt idx="10">
                  <c:v>213.3</c:v>
                </c:pt>
                <c:pt idx="11">
                  <c:v>594.5</c:v>
                </c:pt>
                <c:pt idx="12">
                  <c:v>2272.4</c:v>
                </c:pt>
                <c:pt idx="13">
                  <c:v>1853.5</c:v>
                </c:pt>
                <c:pt idx="14">
                  <c:v>2063.9</c:v>
                </c:pt>
                <c:pt idx="15">
                  <c:v>2311.3000000000002</c:v>
                </c:pt>
                <c:pt idx="16">
                  <c:v>2012.8</c:v>
                </c:pt>
                <c:pt idx="17">
                  <c:v>2444</c:v>
                </c:pt>
                <c:pt idx="18">
                  <c:v>2295.6999999999998</c:v>
                </c:pt>
                <c:pt idx="19">
                  <c:v>4155.5</c:v>
                </c:pt>
                <c:pt idx="20">
                  <c:v>4116.8</c:v>
                </c:pt>
                <c:pt idx="21">
                  <c:v>4810.8</c:v>
                </c:pt>
                <c:pt idx="22">
                  <c:v>3034.9</c:v>
                </c:pt>
                <c:pt idx="23">
                  <c:v>888.2</c:v>
                </c:pt>
                <c:pt idx="24">
                  <c:v>2521.5</c:v>
                </c:pt>
                <c:pt idx="25">
                  <c:v>2857.4</c:v>
                </c:pt>
                <c:pt idx="26">
                  <c:v>2008.8</c:v>
                </c:pt>
                <c:pt idx="27">
                  <c:v>765.8</c:v>
                </c:pt>
                <c:pt idx="28">
                  <c:v>706.2</c:v>
                </c:pt>
                <c:pt idx="29">
                  <c:v>370.5</c:v>
                </c:pt>
                <c:pt idx="30">
                  <c:v>664.9</c:v>
                </c:pt>
                <c:pt idx="31">
                  <c:v>610</c:v>
                </c:pt>
                <c:pt idx="32">
                  <c:v>384.2</c:v>
                </c:pt>
                <c:pt idx="33">
                  <c:v>274.5</c:v>
                </c:pt>
                <c:pt idx="34">
                  <c:v>276</c:v>
                </c:pt>
                <c:pt idx="35">
                  <c:v>97.1</c:v>
                </c:pt>
                <c:pt idx="36">
                  <c:v>128.1</c:v>
                </c:pt>
                <c:pt idx="37">
                  <c:v>125.8</c:v>
                </c:pt>
                <c:pt idx="38">
                  <c:v>192</c:v>
                </c:pt>
                <c:pt idx="39">
                  <c:v>71.099999999999994</c:v>
                </c:pt>
                <c:pt idx="40">
                  <c:v>58.6</c:v>
                </c:pt>
                <c:pt idx="41">
                  <c:v>54.8</c:v>
                </c:pt>
                <c:pt idx="42">
                  <c:v>61.9</c:v>
                </c:pt>
                <c:pt idx="43">
                  <c:v>59.8</c:v>
                </c:pt>
                <c:pt idx="44">
                  <c:v>46.8</c:v>
                </c:pt>
                <c:pt idx="45">
                  <c:v>39.299999999999997</c:v>
                </c:pt>
                <c:pt idx="46">
                  <c:v>35.799999999999997</c:v>
                </c:pt>
                <c:pt idx="47">
                  <c:v>35</c:v>
                </c:pt>
                <c:pt idx="48">
                  <c:v>36.4</c:v>
                </c:pt>
                <c:pt idx="49">
                  <c:v>36.299999999999997</c:v>
                </c:pt>
                <c:pt idx="50">
                  <c:v>32.200000000000003</c:v>
                </c:pt>
                <c:pt idx="51">
                  <c:v>30.2</c:v>
                </c:pt>
                <c:pt idx="52">
                  <c:v>28.9</c:v>
                </c:pt>
                <c:pt idx="53">
                  <c:v>27</c:v>
                </c:pt>
                <c:pt idx="54">
                  <c:v>26.2</c:v>
                </c:pt>
                <c:pt idx="55">
                  <c:v>25.3</c:v>
                </c:pt>
                <c:pt idx="56">
                  <c:v>24</c:v>
                </c:pt>
                <c:pt idx="57">
                  <c:v>23.5</c:v>
                </c:pt>
                <c:pt idx="58">
                  <c:v>22</c:v>
                </c:pt>
                <c:pt idx="59">
                  <c:v>21.1</c:v>
                </c:pt>
                <c:pt idx="60">
                  <c:v>20</c:v>
                </c:pt>
                <c:pt idx="61">
                  <c:v>19</c:v>
                </c:pt>
                <c:pt idx="62">
                  <c:v>18</c:v>
                </c:pt>
                <c:pt idx="63">
                  <c:v>17</c:v>
                </c:pt>
                <c:pt idx="64">
                  <c:v>16.3</c:v>
                </c:pt>
                <c:pt idx="65">
                  <c:v>15</c:v>
                </c:pt>
                <c:pt idx="66">
                  <c:v>14</c:v>
                </c:pt>
                <c:pt idx="67">
                  <c:v>13</c:v>
                </c:pt>
                <c:pt idx="68">
                  <c:v>12</c:v>
                </c:pt>
                <c:pt idx="69">
                  <c:v>11</c:v>
                </c:pt>
                <c:pt idx="70">
                  <c:v>10</c:v>
                </c:pt>
              </c:numCache>
            </c:numRef>
          </c:yVal>
          <c:smooth val="0"/>
          <c:extLst>
            <c:ext xmlns:c16="http://schemas.microsoft.com/office/drawing/2014/chart" uri="{C3380CC4-5D6E-409C-BE32-E72D297353CC}">
              <c16:uniqueId val="{00000001-61C8-4AE6-8E20-89E72201DCA9}"/>
            </c:ext>
          </c:extLst>
        </c:ser>
        <c:ser>
          <c:idx val="2"/>
          <c:order val="2"/>
          <c:tx>
            <c:v>Version C</c:v>
          </c:tx>
          <c:marker>
            <c:symbol val="none"/>
          </c:marker>
          <c:xVal>
            <c:numRef>
              <c:f>Sheet1!$D$1:$D$71</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xVal>
          <c:yVal>
            <c:numRef>
              <c:f>Sheet1!$G$1:$G$71</c:f>
              <c:numCache>
                <c:formatCode>General</c:formatCode>
                <c:ptCount val="71"/>
                <c:pt idx="0">
                  <c:v>161.19999999999999</c:v>
                </c:pt>
                <c:pt idx="1">
                  <c:v>158</c:v>
                </c:pt>
                <c:pt idx="2">
                  <c:v>1445.8</c:v>
                </c:pt>
                <c:pt idx="3">
                  <c:v>3489.6</c:v>
                </c:pt>
                <c:pt idx="4">
                  <c:v>4885.5</c:v>
                </c:pt>
                <c:pt idx="5">
                  <c:v>5247.6</c:v>
                </c:pt>
                <c:pt idx="6">
                  <c:v>4001</c:v>
                </c:pt>
                <c:pt idx="7">
                  <c:v>3129.7</c:v>
                </c:pt>
                <c:pt idx="8">
                  <c:v>6357.7</c:v>
                </c:pt>
                <c:pt idx="9">
                  <c:v>4140.6000000000004</c:v>
                </c:pt>
                <c:pt idx="10">
                  <c:v>3993.1</c:v>
                </c:pt>
                <c:pt idx="11">
                  <c:v>6220</c:v>
                </c:pt>
                <c:pt idx="12">
                  <c:v>6605.3</c:v>
                </c:pt>
                <c:pt idx="13">
                  <c:v>3780.8</c:v>
                </c:pt>
                <c:pt idx="14">
                  <c:v>3434.4</c:v>
                </c:pt>
                <c:pt idx="15">
                  <c:v>6003.3</c:v>
                </c:pt>
                <c:pt idx="16">
                  <c:v>2734.7</c:v>
                </c:pt>
                <c:pt idx="17">
                  <c:v>2862.9</c:v>
                </c:pt>
                <c:pt idx="18">
                  <c:v>3328.5</c:v>
                </c:pt>
                <c:pt idx="19">
                  <c:v>3494.2</c:v>
                </c:pt>
                <c:pt idx="20">
                  <c:v>1513.6</c:v>
                </c:pt>
                <c:pt idx="21">
                  <c:v>2960.6</c:v>
                </c:pt>
                <c:pt idx="22">
                  <c:v>2924.8</c:v>
                </c:pt>
                <c:pt idx="23">
                  <c:v>1585.2</c:v>
                </c:pt>
                <c:pt idx="24">
                  <c:v>1831.6</c:v>
                </c:pt>
                <c:pt idx="25">
                  <c:v>1236.0999999999999</c:v>
                </c:pt>
                <c:pt idx="26">
                  <c:v>970.9</c:v>
                </c:pt>
                <c:pt idx="27">
                  <c:v>1526.3</c:v>
                </c:pt>
                <c:pt idx="28">
                  <c:v>328.6</c:v>
                </c:pt>
                <c:pt idx="29">
                  <c:v>333.6</c:v>
                </c:pt>
                <c:pt idx="30">
                  <c:v>416.2</c:v>
                </c:pt>
                <c:pt idx="31">
                  <c:v>415.1</c:v>
                </c:pt>
                <c:pt idx="32">
                  <c:v>414.4</c:v>
                </c:pt>
                <c:pt idx="33">
                  <c:v>181.9</c:v>
                </c:pt>
                <c:pt idx="34">
                  <c:v>115.8</c:v>
                </c:pt>
                <c:pt idx="35">
                  <c:v>87.3</c:v>
                </c:pt>
                <c:pt idx="36">
                  <c:v>80.900000000000006</c:v>
                </c:pt>
                <c:pt idx="37">
                  <c:v>93.5</c:v>
                </c:pt>
                <c:pt idx="38">
                  <c:v>69.7</c:v>
                </c:pt>
                <c:pt idx="39">
                  <c:v>48.4</c:v>
                </c:pt>
                <c:pt idx="40">
                  <c:v>43.3</c:v>
                </c:pt>
                <c:pt idx="41">
                  <c:v>46.1</c:v>
                </c:pt>
                <c:pt idx="42">
                  <c:v>52</c:v>
                </c:pt>
                <c:pt idx="43">
                  <c:v>41.5</c:v>
                </c:pt>
                <c:pt idx="44">
                  <c:v>36.1</c:v>
                </c:pt>
                <c:pt idx="45">
                  <c:v>35.4</c:v>
                </c:pt>
                <c:pt idx="46">
                  <c:v>39.700000000000003</c:v>
                </c:pt>
                <c:pt idx="47">
                  <c:v>34.9</c:v>
                </c:pt>
                <c:pt idx="48">
                  <c:v>32</c:v>
                </c:pt>
                <c:pt idx="49">
                  <c:v>32.6</c:v>
                </c:pt>
                <c:pt idx="50">
                  <c:v>30</c:v>
                </c:pt>
                <c:pt idx="51">
                  <c:v>29</c:v>
                </c:pt>
                <c:pt idx="52">
                  <c:v>28</c:v>
                </c:pt>
                <c:pt idx="53">
                  <c:v>27</c:v>
                </c:pt>
                <c:pt idx="54">
                  <c:v>26</c:v>
                </c:pt>
                <c:pt idx="55">
                  <c:v>25.7</c:v>
                </c:pt>
                <c:pt idx="56">
                  <c:v>24</c:v>
                </c:pt>
                <c:pt idx="57">
                  <c:v>23</c:v>
                </c:pt>
                <c:pt idx="58">
                  <c:v>22</c:v>
                </c:pt>
                <c:pt idx="59">
                  <c:v>21</c:v>
                </c:pt>
                <c:pt idx="60">
                  <c:v>20</c:v>
                </c:pt>
                <c:pt idx="61">
                  <c:v>19</c:v>
                </c:pt>
                <c:pt idx="62">
                  <c:v>18</c:v>
                </c:pt>
                <c:pt idx="63">
                  <c:v>17</c:v>
                </c:pt>
                <c:pt idx="64">
                  <c:v>16</c:v>
                </c:pt>
                <c:pt idx="65">
                  <c:v>15</c:v>
                </c:pt>
                <c:pt idx="66">
                  <c:v>14</c:v>
                </c:pt>
                <c:pt idx="67">
                  <c:v>13</c:v>
                </c:pt>
                <c:pt idx="68">
                  <c:v>12</c:v>
                </c:pt>
                <c:pt idx="69">
                  <c:v>11</c:v>
                </c:pt>
                <c:pt idx="70">
                  <c:v>10</c:v>
                </c:pt>
              </c:numCache>
            </c:numRef>
          </c:yVal>
          <c:smooth val="0"/>
          <c:extLst>
            <c:ext xmlns:c16="http://schemas.microsoft.com/office/drawing/2014/chart" uri="{C3380CC4-5D6E-409C-BE32-E72D297353CC}">
              <c16:uniqueId val="{00000002-61C8-4AE6-8E20-89E72201DCA9}"/>
            </c:ext>
          </c:extLst>
        </c:ser>
        <c:dLbls>
          <c:showLegendKey val="0"/>
          <c:showVal val="0"/>
          <c:showCatName val="0"/>
          <c:showSerName val="0"/>
          <c:showPercent val="0"/>
          <c:showBubbleSize val="0"/>
        </c:dLbls>
        <c:axId val="380944720"/>
        <c:axId val="380945048"/>
      </c:scatterChart>
      <c:valAx>
        <c:axId val="38094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Initial</a:t>
                </a:r>
                <a:r>
                  <a:rPr lang="en-US" baseline="0"/>
                  <a:t> Values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945048"/>
        <c:crosses val="autoZero"/>
        <c:crossBetween val="midCat"/>
      </c:valAx>
      <c:valAx>
        <c:axId val="380945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Variable Assignments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94472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dc:creator>
  <cp:keywords/>
  <dc:description/>
  <cp:lastModifiedBy>Jayson</cp:lastModifiedBy>
  <cp:revision>15</cp:revision>
  <dcterms:created xsi:type="dcterms:W3CDTF">2017-09-29T19:15:00Z</dcterms:created>
  <dcterms:modified xsi:type="dcterms:W3CDTF">2017-10-03T07:00:00Z</dcterms:modified>
</cp:coreProperties>
</file>