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Have All The Answers?</w:t>
      </w:r>
    </w:p>
    <w:p>
      <w:r>
        <w:rPr>
          <w:i/>
          <w:sz w:val="20"/>
        </w:rPr>
        <w:t>Published: Mar 20, 2020</w:t>
      </w:r>
    </w:p>
    <w:p/>
    <w:p>
      <w:r>
        <w:t>The goal shouldn’t be to have all the answers.</w:t>
      </w:r>
    </w:p>
    <w:p>
      <w:r>
        <w:t>The goal should be to have the ability to find the answers you need when you need them.</w:t>
      </w:r>
    </w:p>
    <w:p>
      <w:r>
        <w:t>This is what the real separator is.</w:t>
      </w:r>
    </w:p>
    <w:p>
      <w:r>
        <w:t>When you “have all the answers” you likely have none of the real answers.</w:t>
      </w:r>
    </w:p>
    <w:p>
      <w:r>
        <w:t>When you leave your mind free to learn &amp; adapt you get all the real answers you need.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