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Here’s What Winners Do…</w:t>
      </w:r>
    </w:p>
    <w:p>
      <w:r>
        <w:rPr>
          <w:i/>
          <w:sz w:val="20"/>
        </w:rPr>
        <w:t>Published: Nov 16, 2020</w:t>
      </w:r>
    </w:p>
    <w:p/>
    <w:p>
      <w:r>
        <w:t>In times of the unknown…</w:t>
      </w:r>
    </w:p>
    <w:p>
      <w:r>
        <w:t>Most people panic, and end up doing nothing at all.</w:t>
      </w:r>
    </w:p>
    <w:p>
      <w:r>
        <w:t>Winners don’t panic…</w:t>
      </w:r>
    </w:p>
    <w:p>
      <w:r>
        <w:t>Winners focus on the fundamentals that got them to where they’re at…</w:t>
      </w:r>
    </w:p>
    <w:p>
      <w:r>
        <w:t>They look at the new obstacle as an opportunity to get better.</w:t>
      </w:r>
    </w:p>
    <w:p>
      <w:r>
        <w:t>It's a drastic difference in perspective.</w:t>
      </w:r>
    </w:p>
    <w:p>
      <w:r>
        <w:t>...but you still get to choose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